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color w:val="auto"/>
        </w:rPr>
        <w:t>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107950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Marchex,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680" w:type="dxa"/>
        <w:tblCellMar>
          <w:top w:w="0" w:type="dxa"/>
          <w:left w:w="0" w:type="dxa"/>
          <w:bottom w:w="0" w:type="dxa"/>
          <w:right w:w="0" w:type="dxa"/>
        </w:tblCellMar>
      </w:tblPr>
      <w:tr>
        <w:trPr>
          <w:trHeight w:val="214"/>
        </w:trPr>
        <w:tc>
          <w:tcPr>
            <w:tcW w:w="3240" w:type="dxa"/>
            <w:vAlign w:val="bottom"/>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0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000-50658</w:t>
            </w: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8"/>
                <w:szCs w:val="18"/>
                <w:b w:val="1"/>
                <w:bCs w:val="1"/>
                <w:color w:val="auto"/>
              </w:rPr>
              <w:t>35-2194038</w:t>
            </w:r>
          </w:p>
        </w:tc>
      </w:tr>
      <w:tr>
        <w:trPr>
          <w:trHeight w:val="148"/>
        </w:trPr>
        <w:tc>
          <w:tcPr>
            <w:tcW w:w="3240" w:type="dxa"/>
            <w:vAlign w:val="bottom"/>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70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40" w:type="dxa"/>
            <w:vAlign w:val="bottom"/>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700" w:type="dxa"/>
            <w:vAlign w:val="bottom"/>
          </w:tcPr>
          <w:p>
            <w:pPr>
              <w:spacing w:after="0"/>
              <w:rPr>
                <w:sz w:val="16"/>
                <w:szCs w:val="16"/>
                <w:color w:val="auto"/>
              </w:rPr>
            </w:pP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7"/>
        </w:trPr>
        <w:tc>
          <w:tcPr>
            <w:tcW w:w="3240" w:type="dxa"/>
            <w:vAlign w:val="bottom"/>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1448 NW Market St, Suite 500,</w:t>
            </w:r>
          </w:p>
        </w:tc>
        <w:tc>
          <w:tcPr>
            <w:tcW w:w="37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5"/>
        </w:trPr>
        <w:tc>
          <w:tcPr>
            <w:tcW w:w="3240" w:type="dxa"/>
            <w:vAlign w:val="bottom"/>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Seattle, WA</w:t>
            </w:r>
          </w:p>
        </w:tc>
        <w:tc>
          <w:tcPr>
            <w:tcW w:w="3700" w:type="dxa"/>
            <w:vAlign w:val="bottom"/>
          </w:tcPr>
          <w:p>
            <w:pPr>
              <w:spacing w:after="0"/>
              <w:rPr>
                <w:sz w:val="20"/>
                <w:szCs w:val="20"/>
                <w:color w:val="auto"/>
              </w:rPr>
            </w:pP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8"/>
                <w:szCs w:val="18"/>
                <w:b w:val="1"/>
                <w:bCs w:val="1"/>
                <w:color w:val="auto"/>
                <w:w w:val="97"/>
              </w:rPr>
              <w:t>98107</w:t>
            </w:r>
          </w:p>
        </w:tc>
      </w:tr>
      <w:tr>
        <w:trPr>
          <w:trHeight w:val="178"/>
        </w:trPr>
        <w:tc>
          <w:tcPr>
            <w:tcW w:w="3240" w:type="dxa"/>
            <w:vAlign w:val="bottom"/>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00" w:type="dxa"/>
            <w:vAlign w:val="bottom"/>
          </w:tcPr>
          <w:p>
            <w:pPr>
              <w:spacing w:after="0"/>
              <w:rPr>
                <w:sz w:val="15"/>
                <w:szCs w:val="15"/>
                <w:color w:val="auto"/>
              </w:rPr>
            </w:pPr>
          </w:p>
        </w:tc>
        <w:tc>
          <w:tcPr>
            <w:tcW w:w="2300" w:type="dxa"/>
            <w:vAlign w:val="bottom"/>
          </w:tcPr>
          <w:p>
            <w:pPr>
              <w:jc w:val="center"/>
              <w:ind w:left="1102"/>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331-3300</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sz w:val="24"/>
          <w:szCs w:val="24"/>
          <w:color w:val="auto"/>
        </w:rPr>
      </w:pPr>
    </w:p>
    <w:p>
      <w:pPr>
        <w:ind w:left="480" w:hanging="459"/>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56"/>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MCHX</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line="19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13, 2026, Marchex, Inc. (“Marchex” or the "Company") is issuing an Earnings Release and holding a conference call regarding its financial results for the first quarter ended March 31, 2026 (the “Earnings Release”). The full text of the Earnings Release is furnished as Exhibit 99.1 to this Current Report on Form 8-K.</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the purposes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or the Exchange Act, except as shall be expressly set forth by specific reference in such filing.</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Marchex is referencing non-generally accepted accounting principles ("GAAP") financial information in both the Earnings Release and on the conference call. A reconciliation of these non-GAAP financial measures to the comparable GAAP financial measures is contained in the attached Earnings Release. Disclosures regarding definitions of these financial measures used by Marchex and why Marchex’s management believes these financial measures provide useful information to investors is also included in the Earnings Release.</w:t>
      </w:r>
    </w:p>
    <w:p>
      <w:pPr>
        <w:spacing w:after="0" w:line="28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p>
      <w:pPr>
        <w:ind w:left="180"/>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Earnings Release of Marchex, dated May 13, 2026</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Marchex has duly caused this Current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MARCHEX, INC.</w:t>
            </w:r>
          </w:p>
        </w:tc>
        <w:tc>
          <w:tcPr>
            <w:tcW w:w="402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3"/>
                <w:szCs w:val="13"/>
                <w:color w:val="auto"/>
                <w:w w:val="99"/>
              </w:rPr>
              <w:t>S</w:t>
            </w:r>
            <w:r>
              <w:rPr>
                <w:rFonts w:ascii="Times New Roman" w:cs="Times New Roman" w:eastAsia="Times New Roman" w:hAnsi="Times New Roman"/>
                <w:sz w:val="18"/>
                <w:szCs w:val="18"/>
                <w:color w:val="auto"/>
                <w:w w:val="99"/>
              </w:rPr>
              <w:t>/ BRIAN NAGLE</w:t>
            </w:r>
          </w:p>
        </w:tc>
      </w:tr>
      <w:tr>
        <w:trPr>
          <w:trHeight w:val="201"/>
        </w:trPr>
        <w:tc>
          <w:tcPr>
            <w:tcW w:w="3540" w:type="dxa"/>
            <w:vAlign w:val="bottom"/>
          </w:tcPr>
          <w:p>
            <w:pPr>
              <w:spacing w:after="0"/>
              <w:rPr>
                <w:sz w:val="17"/>
                <w:szCs w:val="17"/>
                <w:color w:val="auto"/>
              </w:rPr>
            </w:pPr>
          </w:p>
        </w:tc>
        <w:tc>
          <w:tcPr>
            <w:tcW w:w="2680" w:type="dxa"/>
            <w:vAlign w:val="bottom"/>
          </w:tcPr>
          <w:p>
            <w:pPr>
              <w:ind w:left="2100"/>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1000" w:type="dxa"/>
            <w:vAlign w:val="bottom"/>
            <w:tcBorders>
              <w:top w:val="single" w:sz="8" w:color="auto"/>
            </w:tcBorders>
          </w:tcPr>
          <w:p>
            <w:pPr>
              <w:spacing w:after="0"/>
              <w:rPr>
                <w:sz w:val="17"/>
                <w:szCs w:val="17"/>
                <w:color w:val="auto"/>
              </w:rPr>
            </w:pPr>
          </w:p>
        </w:tc>
        <w:tc>
          <w:tcPr>
            <w:tcW w:w="4020" w:type="dxa"/>
            <w:vAlign w:val="bottom"/>
            <w:tcBorders>
              <w:top w:val="single" w:sz="8" w:color="auto"/>
            </w:tcBorders>
          </w:tcPr>
          <w:p>
            <w:pPr>
              <w:jc w:val="center"/>
              <w:ind w:right="910"/>
              <w:spacing w:after="0" w:line="201" w:lineRule="exact"/>
              <w:rPr>
                <w:sz w:val="20"/>
                <w:szCs w:val="20"/>
                <w:color w:val="auto"/>
              </w:rPr>
            </w:pPr>
            <w:r>
              <w:rPr>
                <w:rFonts w:ascii="Times New Roman" w:cs="Times New Roman" w:eastAsia="Times New Roman" w:hAnsi="Times New Roman"/>
                <w:sz w:val="18"/>
                <w:szCs w:val="18"/>
                <w:b w:val="1"/>
                <w:bCs w:val="1"/>
                <w:color w:val="auto"/>
              </w:rPr>
              <w:t>Brian Nagle</w:t>
            </w:r>
          </w:p>
        </w:tc>
      </w:tr>
      <w:tr>
        <w:trPr>
          <w:trHeight w:val="238"/>
        </w:trPr>
        <w:tc>
          <w:tcPr>
            <w:tcW w:w="3540" w:type="dxa"/>
            <w:vAlign w:val="bottom"/>
          </w:tcPr>
          <w:p>
            <w:pPr>
              <w:spacing w:after="0"/>
              <w:rPr>
                <w:sz w:val="20"/>
                <w:szCs w:val="20"/>
                <w:color w:val="auto"/>
              </w:rPr>
            </w:pPr>
          </w:p>
        </w:tc>
        <w:tc>
          <w:tcPr>
            <w:tcW w:w="3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Chief Financial Officer ("CFO")</w:t>
            </w:r>
          </w:p>
        </w:tc>
      </w:tr>
    </w:tbl>
    <w:p>
      <w:pPr>
        <w:ind w:left="634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Marchex Announces First Quarter 2026 Results and Archenia Transaction Update</w:t>
      </w:r>
    </w:p>
    <w:p>
      <w:pPr>
        <w:spacing w:after="0" w:line="24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SEATTLE, WA – May 13, 2026 – Marchex, Inc. (NASDAQ: MCHX), which harnesses the power of AI and conversation intelligence to provide actionable insights derived from prescriptive vertical market data analytics, today announced its financial results for the first quarter ended March 31,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Q1 2026 Financial Highlights</w:t>
      </w:r>
    </w:p>
    <w:p>
      <w:pPr>
        <w:spacing w:after="0" w:line="210"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GAAP revenue was $10.6 million for the first quarter of 2026, compared to $11.4 million for the first quarter of 2025.</w:t>
      </w:r>
    </w:p>
    <w:p>
      <w:pPr>
        <w:spacing w:after="0" w:line="217" w:lineRule="exact"/>
        <w:rPr>
          <w:rFonts w:ascii="Times New Roman" w:cs="Times New Roman" w:eastAsia="Times New Roman" w:hAnsi="Times New Roman"/>
          <w:sz w:val="21"/>
          <w:szCs w:val="21"/>
          <w:color w:val="auto"/>
        </w:rPr>
      </w:pPr>
    </w:p>
    <w:p>
      <w:pPr>
        <w:ind w:left="1020" w:right="480" w:hanging="503"/>
        <w:spacing w:after="0" w:line="258" w:lineRule="auto"/>
        <w:tabs>
          <w:tab w:leader="none" w:pos="10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loss was $1.7 million for the first quarter of 2026 or $(0.04) per diluted share, compared to a net loss of $2.0 million or $(0.05) per diluted share for the first quarter of 2025.</w:t>
      </w:r>
    </w:p>
    <w:p>
      <w:pPr>
        <w:spacing w:after="0" w:line="104" w:lineRule="exact"/>
        <w:rPr>
          <w:rFonts w:ascii="Times New Roman" w:cs="Times New Roman" w:eastAsia="Times New Roman" w:hAnsi="Times New Roman"/>
          <w:sz w:val="22"/>
          <w:szCs w:val="22"/>
          <w:color w:val="auto"/>
        </w:rPr>
      </w:pPr>
    </w:p>
    <w:p>
      <w:pPr>
        <w:ind w:left="1020" w:right="320" w:hanging="503"/>
        <w:spacing w:after="0" w:line="239" w:lineRule="auto"/>
        <w:tabs>
          <w:tab w:leader="none" w:pos="10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earnings before interest, taxes, depreciation, and amortization ("EBITDA") was a loss of $0.1 million for the first quarter of 2026, compared to a loss of $0.8 million for the first quarter of 2025. Adjusted EBITDA for the first quarter of 2026 includes $0.7 million of reorganization and acquisition related costs, and excluding these amounts would result in an Adjusted EBITDA gain of $0.6 million.</w:t>
      </w:r>
    </w:p>
    <w:p>
      <w:pPr>
        <w:spacing w:after="0" w:line="72" w:lineRule="exact"/>
        <w:rPr>
          <w:rFonts w:ascii="Times New Roman" w:cs="Times New Roman" w:eastAsia="Times New Roman" w:hAnsi="Times New Roman"/>
          <w:sz w:val="22"/>
          <w:szCs w:val="22"/>
          <w:color w:val="auto"/>
        </w:rPr>
      </w:pPr>
    </w:p>
    <w:p>
      <w:pPr>
        <w:ind w:left="1020" w:right="200" w:hanging="503"/>
        <w:spacing w:after="0" w:line="258" w:lineRule="auto"/>
        <w:tabs>
          <w:tab w:leader="none" w:pos="10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non-GAAP loss per share for the first quarter of 2026 was $(0.03), compared to a loss per share of ($0.04) for the first quarter of 2025.</w:t>
      </w:r>
    </w:p>
    <w:p>
      <w:pPr>
        <w:spacing w:after="0" w:line="18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Troy Hartless, President of Marchex, commented, “We believe Marchex is a meaningful AI beneficiary based on how rapidly we are now able to leverage AI to develop and deploy new products into our customer base that can deliver high customer value and significant new company revenue opportunities. In the first quarter of 2026, through our collaboration framework with Archenia, we continued developing and selling the initial key products that most leverage our strategic insights into AI-based action and outcome solutions, which have seen very encouraging initial adoption within our existing customer base.”</w:t>
      </w:r>
    </w:p>
    <w:p>
      <w:pPr>
        <w:spacing w:after="0" w:line="204"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21"/>
          <w:szCs w:val="21"/>
          <w:color w:val="auto"/>
        </w:rPr>
        <w:t>“While we operate in a rapidly evolving and dynamic industry with uncertainties, our sales efforts and customer interactions to date continue to reinforce our belief that we are now in a strong position with our ability to leverage new AI-based capabilities across the customer acquisition and optimization journey with highly impactful insight, action and outcome-based solutions.”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Customer and Product Updates</w:t>
      </w:r>
    </w:p>
    <w:p>
      <w:pPr>
        <w:spacing w:after="0" w:line="23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With the previously announced proposed acquisition of Archenia, Marchex and Archenia have created a collaboration framework and have been jointly developing and selling initial products that reflect the combined capabilities of the two companies. Product examples of this collaboration, which leverage Marchex’s data and AI signals and Archenia’s AI tool sets and user interface, are AI-verified outcomes, which drive increased revenue on a Pay-Per-Event basis, and Conversational AI Agents, which increase customer bookings and appointment rate.</w:t>
      </w:r>
    </w:p>
    <w:p>
      <w:pPr>
        <w:spacing w:after="0" w:line="204"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For background, Marchex’s top 100 customers represent approximately 90% of its revenue, and this customer base has been the initial focus for presenting the products which leverage the combined capabilities of the companies. To date, Marchex has made presentations to nearly one third of these customers, approximately half of whom have already purchased one or more of these products on a recurring or paid pilot basis. Of those remaining, Marchex believes the majority are also likely to purchase one or more of these products on a recurring or paid pilot basis. Marchex believes its ability to sell these and other combined solutions,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ind w:right="280"/>
        <w:spacing w:after="0" w:line="258" w:lineRule="auto"/>
        <w:rPr>
          <w:sz w:val="20"/>
          <w:szCs w:val="20"/>
          <w:color w:val="auto"/>
        </w:rPr>
      </w:pPr>
      <w:r>
        <w:rPr>
          <w:rFonts w:ascii="Times New Roman" w:cs="Times New Roman" w:eastAsia="Times New Roman" w:hAnsi="Times New Roman"/>
          <w:sz w:val="22"/>
          <w:szCs w:val="22"/>
          <w:color w:val="auto"/>
        </w:rPr>
        <w:t>reflect the bundling of insights, actions and outcomes, to its installed customer base will be a meaningful sales catalyst in 2026 and beyond.</w:t>
      </w:r>
    </w:p>
    <w:p>
      <w:pPr>
        <w:spacing w:after="0" w:line="18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THE FOLLOWING FORWARD-LOOKING LOOKING STATEMENTS REFLECT MARCHEX’S EXPECTATIONS AS OF MAY 13, 2026</w:t>
      </w:r>
    </w:p>
    <w:p>
      <w:pPr>
        <w:spacing w:after="0" w:line="18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Based on its evolved strategic approach with delivering bundled solutions across insights, actions and outcomes, as well as other positive factors, for the second quarter of 2026 Marchex currently anticipates that revenue will sequentially increase from the first quarter, and that Adjusted EBITDA is now anticipated to increase to a range of $1.6 to $1.8 million, up from prior guidance of more than $1 million.</w:t>
      </w:r>
    </w:p>
    <w:p>
      <w:pPr>
        <w:spacing w:after="0" w:line="20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Additionally, in terms of initial guidance for the third quarter of 2026, Marchex currently anticipates that revenue will sequentially increase and potentially accelerate over second quarter 2026 levels, and that on a stand-alone basis, Adjusted EBITDA can potentially be in the $2 million range or more. To the extent the Archenia transaction has been approved and closed by the third quarter of 2026, Marchex believes that the combined company can potentially see Adjusted EBITDA in the $2.5 million range or more for the third quarter, or an annualized run rate of $10 million or more.</w:t>
      </w:r>
    </w:p>
    <w:p>
      <w:pPr>
        <w:spacing w:after="0" w:line="204"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Marchex currently anticipates that it can continue to see quarterly revenue increase during 2026 and that over the course of the year it can potentially see revenue growth on a run rate basis in the 10% range from 2025 year-end levels. The company also currently anticipates that in the course of 2026, the combination of anticipated increasing revenue growth combined with lower overall operating expenses can potentially lead to Adjusted EBITDA margins of 10% or more.</w:t>
      </w:r>
    </w:p>
    <w:p>
      <w:pPr>
        <w:spacing w:after="0" w:line="20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Marchex is seeing AI make its business more agile and efficient to operate. Additionally, Marchex sees the company’s vast amount of first party data and vertical expertise as key elements in the company’s outlook for potentially meaningful business acceleration into the second half of the year, assuming the closing of the proposed Archenia transaction and the differential and unique attributes of the combined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Archenia Transaction Update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May 8, 2026, Marchex entered into a Stock Purchase Agreement (the “SPA”) to acquire 100% of the stock of Archenia,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“Transaction”) from the Archenia stockholders (the “Sellers”).</w:t>
      </w:r>
    </w:p>
    <w:p>
      <w:pPr>
        <w:spacing w:after="0" w:line="20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 special committee of Marchex’s Board of Directors consisting solely of independent directors (the “Special Committee”) has approved Marchex entering into the SPA because certain of the Sellers are related parties. In considering the SPA, the Special Committee retained Craig-Hallum Capital Group LLC as financial advisor, which provided a fairness opinion with respect to the purchase price. DLA Piper LLP (US) served as independent legal counsel to the Special Committee. Subject to receiving approval of the Transaction by a majority of Marchex’s disinterested stockholders and satisfaction of other closing conditions, the Company expects the Transaction to close in July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Archenia Overview</w:t>
      </w:r>
    </w:p>
    <w:p>
      <w:pPr>
        <w:spacing w:after="0" w:line="237"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22"/>
          <w:szCs w:val="22"/>
          <w:color w:val="auto"/>
        </w:rPr>
        <w:t>Archenia is a performance-based, customer qualification and acquisition company which transforms consumer intent into AI-verified, outcome-based results. Leveraging advanced AI signals, natural-language analytics, and automated decisioning, Archenia detects consumer intent and advertiser value in real time, optimizing customer acquisition campaigns dynamically across channels. With machine-learning models that continuously refine qualification accuracy and ROI, Archenia enables its customers to pay for verified, AI-validated outcomes such as appointments, sales, and high-intent conversations. Trusted by leading national brands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 w:name="page6"/>
    <w:bookmarkEnd w:id="5"/>
    <w:p>
      <w:pPr>
        <w:ind w:right="340"/>
        <w:spacing w:after="0" w:line="258" w:lineRule="auto"/>
        <w:rPr>
          <w:sz w:val="20"/>
          <w:szCs w:val="20"/>
          <w:color w:val="auto"/>
        </w:rPr>
      </w:pPr>
      <w:r>
        <w:rPr>
          <w:rFonts w:ascii="Times New Roman" w:cs="Times New Roman" w:eastAsia="Times New Roman" w:hAnsi="Times New Roman"/>
          <w:sz w:val="22"/>
          <w:szCs w:val="22"/>
          <w:color w:val="auto"/>
        </w:rPr>
        <w:t>verticals as insurance, home services, health care, and automotive, Archenia turns consumer intent into highly qualified, data-driven growth opportunity.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Benefits of the Potential Combination</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Marchex believes its potential acquisition of Archenia, if successfully consummated, would create a vertically focused, AI-driven customer acquisition and outcome-optimization platform. By integrating deep insights, automated actions, and verifiable outcomes, the potential combined company could have the opportunity to achieve greater revenue scale and growth, higher margins, expanded market reach, and enhanced strategic flexibility.</w:t>
      </w:r>
    </w:p>
    <w:p>
      <w:pPr>
        <w:spacing w:after="0" w:line="207"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The company believes that the rapid emergence of AI is accelerating the industry’s move to new Pay-Per-Event models, consistent with the capabilities of the potential combined company. Additionally, expanded AI-driven product offerings across insights, actions and outcomes may create more ways to win new business and to bundle solutions that create greater customer value and retention.</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Marchex believes the potential combination with Archenia, if successfully consummated, could deliver growth acceleration and improved operating leverage:</w:t>
      </w:r>
    </w:p>
    <w:p>
      <w:pPr>
        <w:spacing w:after="0" w:line="15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Potentially Expanded Addressable Market, Cross-Sell and Bundle:</w:t>
      </w:r>
    </w:p>
    <w:p>
      <w:pPr>
        <w:spacing w:after="0" w:line="14" w:lineRule="exact"/>
        <w:rPr>
          <w:rFonts w:ascii="Times New Roman" w:cs="Times New Roman" w:eastAsia="Times New Roman" w:hAnsi="Times New Roman"/>
          <w:sz w:val="22"/>
          <w:szCs w:val="22"/>
          <w:color w:val="auto"/>
        </w:rPr>
      </w:pPr>
    </w:p>
    <w:p>
      <w:pPr>
        <w:ind w:left="1020" w:right="6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Marchex believes the combined ability to sell insights, actions and outcomes would meaningfully expand its addressable market. Additionally, the company believes it would have the ability to offer or bundle Archenia’s outcome-based solutions to many of Marchex’s insights-based enterprise customers.</w:t>
      </w:r>
    </w:p>
    <w:p>
      <w:pPr>
        <w:spacing w:after="0" w:line="177"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Revenue, Scale, and Growth:</w:t>
      </w:r>
    </w:p>
    <w:p>
      <w:pPr>
        <w:spacing w:after="0" w:line="14" w:lineRule="exact"/>
        <w:rPr>
          <w:rFonts w:ascii="Times New Roman" w:cs="Times New Roman" w:eastAsia="Times New Roman" w:hAnsi="Times New Roman"/>
          <w:sz w:val="22"/>
          <w:szCs w:val="22"/>
          <w:color w:val="auto"/>
        </w:rPr>
      </w:pPr>
    </w:p>
    <w:p>
      <w:pPr>
        <w:ind w:left="10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Marchex believes that revenue run rates for the potential combined company are approximately $15 million quarterly, or approximately $60 million annualized, which could grow in the 15-20% range in the course of 2026.</w:t>
      </w:r>
    </w:p>
    <w:p>
      <w:pPr>
        <w:spacing w:after="0" w:line="17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Adjusted EBITDA Expansion:</w:t>
      </w:r>
    </w:p>
    <w:p>
      <w:pPr>
        <w:spacing w:after="0" w:line="14" w:lineRule="exact"/>
        <w:rPr>
          <w:rFonts w:ascii="Times New Roman" w:cs="Times New Roman" w:eastAsia="Times New Roman" w:hAnsi="Times New Roman"/>
          <w:sz w:val="22"/>
          <w:szCs w:val="22"/>
          <w:color w:val="auto"/>
        </w:rPr>
      </w:pPr>
    </w:p>
    <w:p>
      <w:pPr>
        <w:ind w:left="1020" w:right="48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Marchex believes that Adjusted EBITDA margins are anticipated to trend to 10% or more in 2026; the company believes Archenia could contribute additional positive Adjusted EBITDA beyond these levels.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Marchex</w:t>
      </w:r>
    </w:p>
    <w:p>
      <w:pPr>
        <w:spacing w:after="0" w:line="2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Marchex harnesses the power of AI and conversation intelligence to provide actionable insights derived from prescriptive vertical market data analytics. Marchex enables organizations across business functions to optimize customer acquisitions and experiences, transforming conversations into meaningful business outcomes. Marchex provides AI-powered conversation intelligence solutions for market-leading companies in leading B2B2C vertical markets, including many of the world’s most innovative and successful brands.</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Please visit www.marchex.com, www.marchex.com/blog, or @marchex on X, where Marchex discloses material information from time to time about the Company, its financial information,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237"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Certain statements included above contain forward-looking statements that involve substantial risks and uncertainties. All statements, other than statements of historical facts, included herein regarding the entering the SPA, its terms, and consummation of the Transaction, the satisfaction of the thresholds for the contingent consideration contemplated by the SPA, Archenia’s estimated financial results and benefits of the proposed combination, and the Company’s strategy, future operations, future financial position, future revenues, other financial guidance, acquisitions, dispositions, projected costs, prospects, plans and objectives of management are forward-looking statements. The Company may not actually achieve the plans, intentions, or expectations disclosed in its forward-looking statements and you should not place undue reliance on such statements. Actual results or events could differ materially from the plans, intentions and expectations disclosed in such statements due to a number of important factors, including but not limited to product demand, order cancellations and delays, competition, changes in business strategy or development plans, and general economic and business conditions. These factors are described in greater detail in the “Risk Factors” section of the Company’s most recent periodic report or registration statement filed with the SEC. All of the information provided herein is as of May 13, 2026 and the Company undertakes no duty to update the information provided herein.</w:t>
      </w:r>
    </w:p>
    <w:p>
      <w:pPr>
        <w:spacing w:after="0" w:line="20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In the event the earnings release contains links to third party websites or materials, the links are provided solely as a convenience to the user. Marchex is not responsible for the content of linked third-party sites or materials and does not make any representations regarding the content or accuracy thereof.</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Information</w:t>
      </w:r>
    </w:p>
    <w:p>
      <w:pPr>
        <w:spacing w:after="0" w:line="21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To supplement Marchex's consolidated financial statements presented in accordance with GAAP and to provide clarity internally and externally, Marchex uses certain non-GAAP measures of financial performance and liquidity, including adjusted EBITDA and adjusted non-GAAP income (loss) per share. Financial analysts and investors may use adjusted EBITDA to help with comparative financial evaluation to make informed investment decisions. Financial analysts and investors may use adjusted non-GAAP income (loss) per share to analyze Marchex's financial performance since these groups have historically used earnings per share related measures, along with other measures, to estimate the value of a Company, to make informed investment decisions, and to evaluate a Company's operating performance compared to that of other companies in its industry.</w:t>
      </w:r>
    </w:p>
    <w:p>
      <w:pPr>
        <w:spacing w:after="0" w:line="19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i w:val="1"/>
          <w:iCs w:val="1"/>
          <w:u w:val="single" w:color="auto"/>
          <w:color w:val="auto"/>
        </w:rPr>
        <w:t>Adjusted EBITDA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represents net income (loss) before (1) interest, (2) income taxes, (3) amortization of intangible assets from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acquisitions, (4) depreciation and amortization, (5) stock-based compensation expense, and (6) acquisition and disposition-related costs. Adjusted EBITDA is a metric by which Marchex has evaluated the performance of its business, to include being the basis on which Marchex's internal budgets have been based and by which Marchex's management has been evaluated. This measure is used by our management to understand and evaluate our core operating performance and trends, and management believes it provides meaningful information regarding the Company's liquidity and ability to fund its operations and financing obligations.</w:t>
      </w:r>
    </w:p>
    <w:p>
      <w:pPr>
        <w:spacing w:after="0" w:line="192"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Adjusted non-GAAP income (loss) per share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represents adjusted non-GAAP income (loss) divided by GAAP diluted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outstanding. Adjusted non-GAAP income (loss) generally captures those items on the statement of operations that have been, or ultimately will be, settled in cash exclusive of certain items that are not indicative of Marchex’s recurring core operating results and represents net income (loss) applicable to common stockholders plus the net of tax effects of: (1) stock-based compensation expense, (2) acquisition and disposition related costs, (3) amortization of intangible assets from acquisitions, and (4) interest (income) expense and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7" w:name="page8"/>
    <w:bookmarkEnd w:id="7"/>
    <w:p>
      <w:pPr>
        <w:spacing w:after="0" w:line="234" w:lineRule="auto"/>
        <w:rPr>
          <w:sz w:val="20"/>
          <w:szCs w:val="20"/>
          <w:color w:val="auto"/>
        </w:rPr>
      </w:pPr>
      <w:r>
        <w:rPr>
          <w:rFonts w:ascii="Times New Roman" w:cs="Times New Roman" w:eastAsia="Times New Roman" w:hAnsi="Times New Roman"/>
          <w:sz w:val="22"/>
          <w:szCs w:val="22"/>
          <w:color w:val="auto"/>
        </w:rPr>
        <w:t>Marchex's management believes that investors should have access to, and Marchex is obligated to provide, the same set of tools that management uses in analyzing the Company's results. These non-GAAP measures should be considered in addition to results prepared in accordance with GAAP, and should not be considered in isolation, as a substitute for, or superior to, GAAP results. Marchex’s non-GAAP financial measures may be defined differently from time to time and may be defined differently than similar titled terms used by other companies, and accordingly, care should be exercised in understanding how Marchex defines its non-GAAP financial measures in this release. Marchex endeavors to compensate for the limitations of the non-GAAP measures presented by providing the comparable GAAP measure with equal or greater prominence, GAAP financial statements, and detailed descriptions of the reconciling items and adjustments, including quantifying such items, to derive the non-GAAP measure.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Information and Where to Find It</w:t>
      </w:r>
    </w:p>
    <w:p>
      <w:pPr>
        <w:spacing w:after="0" w:line="210"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In connection with the proposed Transaction described in this press release, the Company intends to file with the SEC a proxy statement and other relevant documents. This communication does not constitute an offer to sell or the solicitation of an offer to buy any securities or a solicitation of any vote or approval, and is not a substitute for the proxy statement or any other document that the Company may file with the SEC or send to its stockholders in connection with the proposed Transaction. Before making any voting decision, the Company’s stockholders are urged to read the proxy statement (including any amendments or supplements thereto) carefully and in its entirety, as well as any other relevant documents filed with the SEC in connection with the proposed Transaction or incorporated by reference therein, when they become available because they will contain important information about the proposed Transaction and the parties to the proposed Transaction. Investors and stockholders will be able to obtain a copy of the proxy statement and other documents filed by the Company with the SEC (when available) free of charge at the SEC’s website, www.sec.gov, and the Company’s website, www.marchex.com.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Certain Information Regarding Participants</w:t>
      </w:r>
    </w:p>
    <w:p>
      <w:pPr>
        <w:spacing w:after="0" w:line="21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1"/>
          <w:szCs w:val="21"/>
          <w:color w:val="auto"/>
        </w:rPr>
        <w:t>The Company and its directors and executive officers and employees may be deemed to be participants in the solicitation of proxies from the holders of the Company’s Class B common stock in respect of the proposed Transaction. Information about the directors and executive officers of the Company is set forth in the Company’s Annual Report on Form 10-K for the year ended December 31, 2025, filed with the SEC on March 26, 2026, as amended by Amendment No. 1 thereto on Form 10-K/A, filed with the SEC on April 17, 2026, and the proxy statement for its 2025 annual meeting of stockholders, filed with the SEC on November 4, 2025. Additional information regarding potential participants in the proxy solicitation and a description of their direct and indirect interests, by security holdings or otherwise, will be contained in the proxy statement and other relevant documents to be filed by the Company with the SEC in respect of the proposed Transaction when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For further information,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Marchex Investor Relations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ir@marchex.com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Marchex Corporate Communications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pr@marchex.com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3308985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2"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MARCHEX,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920" w:type="dxa"/>
            <w:vAlign w:val="bottom"/>
            <w:shd w:val="clear" w:color="auto" w:fill="CFF0FC"/>
          </w:tcPr>
          <w:p>
            <w:pPr>
              <w:ind w:left="400"/>
              <w:spacing w:after="0" w:line="210" w:lineRule="exact"/>
              <w:rPr>
                <w:sz w:val="20"/>
                <w:szCs w:val="20"/>
                <w:color w:val="auto"/>
              </w:rPr>
            </w:pPr>
            <w:r>
              <w:rPr>
                <w:rFonts w:ascii="Times New Roman" w:cs="Times New Roman" w:eastAsia="Times New Roman" w:hAnsi="Times New Roman"/>
                <w:sz w:val="18"/>
                <w:szCs w:val="18"/>
                <w:color w:val="auto"/>
              </w:rPr>
              <w:t xml:space="preserve">Total cost of revenue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30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00" w:type="dxa"/>
            <w:vAlign w:val="bottom"/>
            <w:shd w:val="clear" w:color="auto" w:fill="CFF0FC"/>
          </w:tcPr>
          <w:p>
            <w:pPr>
              <w:spacing w:after="0"/>
              <w:rPr>
                <w:sz w:val="18"/>
                <w:szCs w:val="18"/>
                <w:color w:val="auto"/>
              </w:rPr>
            </w:pPr>
          </w:p>
        </w:tc>
      </w:tr>
      <w:tr>
        <w:trPr>
          <w:trHeight w:val="20"/>
        </w:trPr>
        <w:tc>
          <w:tcPr>
            <w:tcW w:w="6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(1,351)</w:t>
            </w:r>
          </w:p>
        </w:tc>
        <w:tc>
          <w:tcPr>
            <w:tcW w:w="1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(1,871)</w:t>
            </w: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1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(1,525)</w:t>
            </w:r>
          </w:p>
        </w:tc>
        <w:tc>
          <w:tcPr>
            <w:tcW w:w="1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(1,874)</w:t>
            </w:r>
          </w:p>
        </w:tc>
      </w:tr>
      <w:tr>
        <w:trPr>
          <w:trHeight w:val="216"/>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44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(1,724)</w:t>
            </w:r>
          </w:p>
        </w:tc>
        <w:tc>
          <w:tcPr>
            <w:tcW w:w="118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(1,982)</w:t>
            </w:r>
          </w:p>
        </w:tc>
      </w:tr>
      <w:tr>
        <w:trPr>
          <w:trHeight w:val="20"/>
        </w:trPr>
        <w:tc>
          <w:tcPr>
            <w:tcW w:w="6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Class A and Class B share applicable to common stockholders</w:t>
            </w:r>
          </w:p>
        </w:tc>
        <w:tc>
          <w:tcPr>
            <w:tcW w:w="1440" w:type="dxa"/>
            <w:vAlign w:val="bottom"/>
            <w:gridSpan w:val="2"/>
            <w:shd w:val="clear" w:color="auto" w:fill="CFF0FC"/>
          </w:tcPr>
          <w:p>
            <w:pPr>
              <w:jc w:val="right"/>
              <w:ind w:right="10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180" w:type="dxa"/>
            <w:vAlign w:val="bottom"/>
            <w:shd w:val="clear" w:color="auto" w:fill="CFF0FC"/>
          </w:tcPr>
          <w:p>
            <w:pPr>
              <w:jc w:val="right"/>
              <w:ind w:right="99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(0.05)</w:t>
            </w:r>
          </w:p>
        </w:tc>
      </w:tr>
      <w:tr>
        <w:trPr>
          <w:trHeight w:val="197"/>
        </w:trPr>
        <w:tc>
          <w:tcPr>
            <w:tcW w:w="69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to calculate basic net loss per share applicable to common stockholders:</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39,301</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39,060</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calculate diluted net loss per share applicable to common stockholders: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43,962</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43,721</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Includes stock-based compensation allocated as follows:</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144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18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16"/>
        </w:trPr>
        <w:tc>
          <w:tcPr>
            <w:tcW w:w="6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00" w:type="dxa"/>
            <w:vAlign w:val="bottom"/>
          </w:tcPr>
          <w:p>
            <w:pPr>
              <w:spacing w:after="0"/>
              <w:rPr>
                <w:sz w:val="18"/>
                <w:szCs w:val="18"/>
                <w:color w:val="auto"/>
              </w:rPr>
            </w:pPr>
          </w:p>
        </w:tc>
        <w:tc>
          <w:tcPr>
            <w:tcW w:w="118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79"/>
        </w:trPr>
        <w:tc>
          <w:tcPr>
            <w:tcW w:w="6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-3299460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-3016885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-2733675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-2425065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-2408555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-2408555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-753745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MARCHEX,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9"/>
        </w:trPr>
        <w:tc>
          <w:tcPr>
            <w:tcW w:w="5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568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8"/>
                <w:szCs w:val="18"/>
                <w:color w:val="auto"/>
              </w:rPr>
            </w:pPr>
          </w:p>
        </w:tc>
      </w:tr>
      <w:tr>
        <w:trPr>
          <w:trHeight w:val="210"/>
        </w:trPr>
        <w:tc>
          <w:tcPr>
            <w:tcW w:w="5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 net</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lease assets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38,546</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39,680</w:t>
            </w:r>
          </w:p>
        </w:tc>
        <w:tc>
          <w:tcPr>
            <w:tcW w:w="10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680" w:type="dxa"/>
            <w:vAlign w:val="bottom"/>
            <w:shd w:val="clear" w:color="auto" w:fill="CFF0FC"/>
          </w:tcPr>
          <w:p>
            <w:pPr>
              <w:ind w:left="8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benefits and payroll</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and deposits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Pr>
          <w:p>
            <w:pPr>
              <w:spacing w:after="0"/>
              <w:rPr>
                <w:sz w:val="18"/>
                <w:szCs w:val="18"/>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common stock</w:t>
            </w: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Class B common stock</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361,057</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(333,137)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(331,413)</w:t>
            </w:r>
          </w:p>
        </w:tc>
      </w:tr>
      <w:tr>
        <w:trPr>
          <w:trHeight w:val="210"/>
        </w:trPr>
        <w:tc>
          <w:tcPr>
            <w:tcW w:w="56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w:t>
            </w:r>
          </w:p>
        </w:tc>
        <w:tc>
          <w:tcPr>
            <w:tcW w:w="100" w:type="dxa"/>
            <w:vAlign w:val="bottom"/>
            <w:tcBorders>
              <w:top w:val="single" w:sz="8" w:color="CFF0FC"/>
            </w:tcBorders>
          </w:tcPr>
          <w:p>
            <w:pPr>
              <w:spacing w:after="0"/>
              <w:rPr>
                <w:sz w:val="18"/>
                <w:szCs w:val="18"/>
                <w:color w:val="auto"/>
              </w:rPr>
            </w:pPr>
          </w:p>
        </w:tc>
      </w:tr>
      <w:tr>
        <w:trPr>
          <w:trHeight w:val="249"/>
        </w:trPr>
        <w:tc>
          <w:tcPr>
            <w:tcW w:w="5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38,546</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39,680</w:t>
            </w:r>
          </w:p>
        </w:tc>
        <w:tc>
          <w:tcPr>
            <w:tcW w:w="100" w:type="dxa"/>
            <w:vAlign w:val="bottom"/>
            <w:shd w:val="clear" w:color="auto" w:fill="CFF0FC"/>
          </w:tcPr>
          <w:p>
            <w:pPr>
              <w:spacing w:after="0"/>
              <w:rPr>
                <w:sz w:val="21"/>
                <w:szCs w:val="21"/>
                <w:color w:val="auto"/>
              </w:rPr>
            </w:pPr>
          </w:p>
        </w:tc>
      </w:tr>
      <w:tr>
        <w:trPr>
          <w:trHeight w:val="879"/>
        </w:trPr>
        <w:tc>
          <w:tcPr>
            <w:tcW w:w="5680" w:type="dxa"/>
            <w:vAlign w:val="bottom"/>
            <w:tcBorders>
              <w:top w:val="single" w:sz="8" w:color="CFF0FC"/>
              <w:bottom w:val="single" w:sz="8" w:color="9A9A9A"/>
            </w:tcBorders>
          </w:tcPr>
          <w:p>
            <w:pPr>
              <w:spacing w:after="0"/>
              <w:rPr>
                <w:sz w:val="24"/>
                <w:szCs w:val="24"/>
                <w:color w:val="auto"/>
              </w:rPr>
            </w:pPr>
          </w:p>
        </w:tc>
        <w:tc>
          <w:tcPr>
            <w:tcW w:w="206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-3428365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-2296795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-899795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-608330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-591185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MARCHEX,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Net Loss to Adjusted EBITDA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120" w:type="dxa"/>
            <w:vAlign w:val="bottom"/>
            <w:tcBorders>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applicable to common stockholders</w:t>
            </w:r>
          </w:p>
        </w:tc>
        <w:tc>
          <w:tcPr>
            <w:tcW w:w="274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(1,724)</w:t>
            </w:r>
          </w:p>
        </w:tc>
        <w:tc>
          <w:tcPr>
            <w:tcW w:w="122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(1,982)</w:t>
            </w:r>
          </w:p>
        </w:tc>
      </w:tr>
      <w:tr>
        <w:trPr>
          <w:trHeight w:val="216"/>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r>
      <w:tr>
        <w:trPr>
          <w:trHeight w:val="24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74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w:t>
            </w:r>
          </w:p>
        </w:tc>
      </w:tr>
      <w:tr>
        <w:trPr>
          <w:trHeight w:val="1013"/>
        </w:trPr>
        <w:tc>
          <w:tcPr>
            <w:tcW w:w="5800" w:type="dxa"/>
            <w:vAlign w:val="bottom"/>
            <w:tcBorders>
              <w:top w:val="single" w:sz="8" w:color="CFF0FC"/>
              <w:bottom w:val="single" w:sz="8" w:color="9A9A9A"/>
            </w:tcBorders>
          </w:tcPr>
          <w:p>
            <w:pPr>
              <w:spacing w:after="0"/>
              <w:rPr>
                <w:sz w:val="24"/>
                <w:szCs w:val="24"/>
                <w:color w:val="auto"/>
              </w:rPr>
            </w:pPr>
          </w:p>
        </w:tc>
        <w:tc>
          <w:tcPr>
            <w:tcW w:w="1620" w:type="dxa"/>
            <w:vAlign w:val="bottom"/>
            <w:tcBorders>
              <w:top w:val="single" w:sz="8" w:color="CFF0FC"/>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-693420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-676910</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2" w:name="page13"/>
    <w:bookmarkEnd w:id="12"/>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MARCHEX, INC. AND SUBSIDIARIES</w:t>
      </w:r>
    </w:p>
    <w:p>
      <w:pPr>
        <w:spacing w:after="0" w:line="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(In Thousands)</w:t>
      </w: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 xml:space="preserve">Reconciliation of Net Loss per Share to Adjusted Non-GAAP Income (Loss) per Share </w:t>
      </w:r>
      <w:r>
        <w:rPr>
          <w:rFonts w:ascii="Times New Roman" w:cs="Times New Roman" w:eastAsia="Times New Roman" w:hAnsi="Times New Roman"/>
          <w:sz w:val="28"/>
          <w:szCs w:val="28"/>
          <w:b w:val="1"/>
          <w:bCs w:val="1"/>
          <w:color w:val="auto"/>
          <w:vertAlign w:val="superscript"/>
        </w:rPr>
        <w:t>(1)</w:t>
      </w:r>
    </w:p>
    <w:p>
      <w:pPr>
        <w:spacing w:after="0" w:line="103" w:lineRule="exact"/>
        <w:rPr>
          <w:sz w:val="20"/>
          <w:szCs w:val="20"/>
          <w:color w:val="auto"/>
        </w:rPr>
      </w:pPr>
    </w:p>
    <w:tbl>
      <w:tblPr>
        <w:tblLayout w:type="fixed"/>
        <w:tblInd w:w="52"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tcBorders>
              <w:bottom w:val="single" w:sz="8" w:color="auto"/>
            </w:tcBorders>
            <w:gridSpan w:val="5"/>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Borders>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share applicable to common stockholders, diluted</w:t>
            </w:r>
          </w:p>
        </w:tc>
        <w:tc>
          <w:tcPr>
            <w:tcW w:w="1340" w:type="dxa"/>
            <w:vAlign w:val="bottom"/>
            <w:gridSpan w:val="2"/>
            <w:shd w:val="clear" w:color="auto" w:fill="CFF0FC"/>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1220" w:type="dxa"/>
            <w:vAlign w:val="bottom"/>
            <w:gridSpan w:val="2"/>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20" w:type="dxa"/>
            <w:vAlign w:val="bottom"/>
          </w:tcPr>
          <w:p>
            <w:pPr>
              <w:spacing w:after="0"/>
              <w:rPr>
                <w:sz w:val="18"/>
                <w:szCs w:val="18"/>
                <w:color w:val="auto"/>
              </w:rPr>
            </w:pPr>
          </w:p>
        </w:tc>
        <w:tc>
          <w:tcPr>
            <w:tcW w:w="702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FF0FC"/>
            </w:tcBorders>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loss per share</w:t>
            </w: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4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78"/>
        </w:trPr>
        <w:tc>
          <w:tcPr>
            <w:tcW w:w="20" w:type="dxa"/>
            <w:vAlign w:val="bottom"/>
          </w:tcPr>
          <w:p>
            <w:pPr>
              <w:spacing w:after="0"/>
              <w:rPr>
                <w:sz w:val="15"/>
                <w:szCs w:val="15"/>
                <w:color w:val="auto"/>
              </w:rPr>
            </w:pPr>
          </w:p>
        </w:tc>
        <w:tc>
          <w:tcPr>
            <w:tcW w:w="70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Shares used to calculate diluted net loss per share applicable to common stockholders (GAAP)</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adjusted non-GAAP income (loss) per share</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43,721</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5743575</wp:posOffset>
            </wp:positionH>
            <wp:positionV relativeFrom="paragraph">
              <wp:posOffset>-299720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-281940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-445135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-299720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-281940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7020560</wp:posOffset>
            </wp:positionH>
            <wp:positionV relativeFrom="paragraph">
              <wp:posOffset>-445135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7" w:lineRule="exact"/>
        <w:rPr>
          <w:sz w:val="20"/>
          <w:szCs w:val="20"/>
          <w:color w:val="auto"/>
        </w:rPr>
      </w:pPr>
    </w:p>
    <w:p>
      <w:pPr>
        <w:ind w:left="512" w:hanging="512"/>
        <w:spacing w:after="0" w:line="282" w:lineRule="auto"/>
        <w:tabs>
          <w:tab w:leader="none" w:pos="5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computing the number of diluted shares for adjusted non-GAAP loss per share, Marchex uses the accounting guidance that would be applicable for computing the number of diluted shares for GAAP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530225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12"/>
      </w:cols>
      <w:pgMar w:left="328" w:top="97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2026-05-13T15:32:51Z</dcterms:created>
  <dcterms:modified xsi:type="dcterms:W3CDTF">2026-05-13T15:32:51Z</dcterms:modified>
</cp:coreProperties>
</file>