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left"/>
        <w:rPr/>
      </w:pPr>
      <w:bookmarkStart w:id="0" w:name="mchx-20260812.htm"/>
      <w:bookmarkStart w:id="1" w:name="ksmchx20260812"/>
      <w:bookmarkEnd w:id="0"/>
      <w:bookmarkEnd w:id="1"/>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2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240" w:after="283"/>
        <w:jc w:val="center"/>
        <w:rPr>
          <w:rFonts w:ascii="Times New Roman" w:hAnsi="Times New Roman"/>
          <w:sz w:val="20"/>
        </w:rPr>
      </w:pPr>
      <w:r>
        <w:rPr>
          <w:rFonts w:ascii="Times New Roman" w:hAnsi="Times New Roman"/>
          <w:b/>
          <w:color w:val="000000"/>
          <w:sz w:val="24"/>
        </w:rPr>
        <w:t xml:space="preserve">Date of Report (Date of earliest event reported): </w:t>
      </w:r>
      <w:r>
        <w:rPr>
          <w:rFonts w:ascii="Times New Roman" w:hAnsi="Times New Roman"/>
          <w:color w:val="000000"/>
          <w:sz w:val="24"/>
        </w:rPr>
        <w:t>August 12, 2026</w:t>
      </w:r>
    </w:p>
    <w:p>
      <w:pPr>
        <w:pStyle w:val="TextBody"/>
        <w:bidi w:val="0"/>
        <w:spacing w:before="160" w:after="283"/>
        <w:jc w:val="center"/>
        <w:rPr>
          <w:rFonts w:ascii="Times New Roman" w:hAnsi="Times New Roman"/>
          <w:b/>
          <w:color w:val="000000"/>
          <w:sz w:val="48"/>
        </w:rPr>
      </w:pPr>
      <w:r>
        <w:rPr>
          <w:rFonts w:ascii="Times New Roman" w:hAnsi="Times New Roman"/>
          <w:b/>
          <w:color w:val="000000"/>
          <w:sz w:val="48"/>
        </w:rPr>
        <w:t>Marchex,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5598" w:type="dxa"/>
        <w:jc w:val="left"/>
        <w:tblInd w:w="0" w:type="dxa"/>
        <w:tblLayout w:type="fixed"/>
        <w:tblCellMar>
          <w:top w:w="28" w:type="dxa"/>
          <w:left w:w="28" w:type="dxa"/>
          <w:bottom w:w="28" w:type="dxa"/>
          <w:right w:w="28" w:type="dxa"/>
        </w:tblCellMar>
      </w:tblPr>
      <w:tblGrid>
        <w:gridCol w:w="2071"/>
        <w:gridCol w:w="2041"/>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000-50658</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35-2194038</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tbl>
      <w:tblPr>
        <w:tblW w:w="3681" w:type="dxa"/>
        <w:jc w:val="left"/>
        <w:tblInd w:w="0" w:type="dxa"/>
        <w:tblLayout w:type="fixed"/>
        <w:tblCellMar>
          <w:top w:w="28" w:type="dxa"/>
          <w:left w:w="28" w:type="dxa"/>
          <w:bottom w:w="28" w:type="dxa"/>
          <w:right w:w="28" w:type="dxa"/>
        </w:tblCellMar>
      </w:tblPr>
      <w:tblGrid>
        <w:gridCol w:w="2716"/>
        <w:gridCol w:w="109"/>
        <w:gridCol w:w="856"/>
      </w:tblGrid>
      <w:tr>
        <w:trPr/>
        <w:tc>
          <w:tcPr>
            <w:tcW w:w="2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7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1448 NW Market St, Suite 500,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Seattle, WA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98107</w:t>
            </w:r>
          </w:p>
        </w:tc>
      </w:tr>
      <w:tr>
        <w:trPr/>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Registrant’s Telephone Number, Including Area Code: (206) 331-3300</w:t>
      </w:r>
      <w:r>
        <w:rPr>
          <w:rFonts w:ascii="Times New Roman" w:hAnsi="Times New Roman"/>
          <w:color w:val="000000"/>
          <w:sz w:val="20"/>
        </w:rPr>
        <w:t xml:space="preserve">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8140" w:type="dxa"/>
        <w:jc w:val="left"/>
        <w:tblInd w:w="0" w:type="dxa"/>
        <w:tblLayout w:type="fixed"/>
        <w:tblCellMar>
          <w:top w:w="28" w:type="dxa"/>
          <w:left w:w="28" w:type="dxa"/>
          <w:bottom w:w="28" w:type="dxa"/>
          <w:right w:w="28" w:type="dxa"/>
        </w:tblCellMar>
      </w:tblPr>
      <w:tblGrid>
        <w:gridCol w:w="3706"/>
        <w:gridCol w:w="146"/>
        <w:gridCol w:w="82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Class B 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MCHX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Item 2.02</w:t>
      </w:r>
      <w:r>
        <w:rPr>
          <w:rFonts w:ascii="Times New Roman" w:hAnsi="Times New Roman"/>
          <w:color w:val="000000"/>
          <w:sz w:val="20"/>
        </w:rPr>
        <w:t xml:space="preserve"> </w:t>
      </w:r>
      <w:r>
        <w:rPr>
          <w:rFonts w:ascii="Times New Roman" w:hAnsi="Times New Roman"/>
          <w:b/>
          <w:color w:val="000000"/>
          <w:sz w:val="20"/>
        </w:rPr>
        <w:t>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12, 2026, Marchex, Inc. (“Marchex” or the "Company") is issuing an Earnings Release and holding a conference call regarding its financial results for the second quarter ended June 30, 2026 (the “Earnings Release”). The full text of the Earnings Release is furnished as Exhibit 99.1 to this Current Report on Form 8-K.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this Item 2.02 (including Exhibit 99.1) is being furnished and shall not be deemed “filed” for the purposes of Section 18 of the Securities Exchange Act of 1934, as amended (the “Exchange Act”), or otherwise subject to the liabilities of that section. Such information shall not be incorporated by reference into any registration statement or other document pursuant to the Securities Act of 1933 or the Exchange Act, except as shall be expressly set forth by specific reference in such filing.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Marchex is referencing non-generally accepted accounting principles ("GAAP") financial information in both the Earnings Release and on the conference call. A reconciliation of these non-GAAP financial measures to the comparable GAAP financial measures is contained in the attached Earnings Release. Disclosures regarding definitions of these financial measures used by Marchex and why Marchex’s management believes these financial measures provide useful information to investors is also included in the Earnings Release.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360"/>
        <w:jc w:val="left"/>
        <w:rPr>
          <w:rFonts w:ascii="Times New Roman" w:hAnsi="Times New Roman"/>
          <w:b/>
          <w:i/>
          <w:color w:val="000000"/>
          <w:sz w:val="20"/>
        </w:rPr>
      </w:pPr>
      <w:r>
        <w:rPr>
          <w:rFonts w:ascii="Times New Roman" w:hAnsi="Times New Roman"/>
          <w:b/>
          <w:i/>
          <w:color w:val="000000"/>
          <w:sz w:val="20"/>
        </w:rPr>
        <w:t>(d) Exhibits.</w:t>
      </w:r>
    </w:p>
    <w:tbl>
      <w:tblPr>
        <w:tblW w:w="7393" w:type="dxa"/>
        <w:jc w:val="left"/>
        <w:tblInd w:w="0" w:type="dxa"/>
        <w:tblLayout w:type="fixed"/>
        <w:tblCellMar>
          <w:top w:w="28" w:type="dxa"/>
          <w:left w:w="28" w:type="dxa"/>
          <w:bottom w:w="28" w:type="dxa"/>
          <w:right w:w="28" w:type="dxa"/>
        </w:tblCellMar>
      </w:tblPr>
      <w:tblGrid>
        <w:gridCol w:w="646"/>
        <w:gridCol w:w="146"/>
        <w:gridCol w:w="660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mchx-ex99_1.htm">
              <w:r>
                <w:rPr>
                  <w:rStyle w:val="InternetLink"/>
                  <w:rFonts w:ascii="Times New Roman" w:hAnsi="Times New Roman"/>
                  <w:color w:val="0000FF"/>
                  <w:sz w:val="20"/>
                  <w:u w:val="single"/>
                </w:rPr>
                <w:t>Earnings Release of Marchex, dated August 12,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Marchex has duly caused this Current Report to be signed on its behalf by the undersigned hereunto duly authorized.</w:t>
      </w:r>
    </w:p>
    <w:p>
      <w:pPr>
        <w:pStyle w:val="TextBody"/>
        <w:bidi w:val="0"/>
        <w:jc w:val="left"/>
        <w:rPr/>
      </w:pPr>
      <w:r>
        <w:rPr/>
        <w:t> </w:t>
      </w:r>
    </w:p>
    <w:tbl>
      <w:tblPr>
        <w:tblW w:w="7998" w:type="dxa"/>
        <w:jc w:val="left"/>
        <w:tblInd w:w="0" w:type="dxa"/>
        <w:tblLayout w:type="fixed"/>
        <w:tblCellMar>
          <w:top w:w="28" w:type="dxa"/>
          <w:left w:w="28" w:type="dxa"/>
          <w:bottom w:w="28" w:type="dxa"/>
          <w:right w:w="28" w:type="dxa"/>
        </w:tblCellMar>
      </w:tblPr>
      <w:tblGrid>
        <w:gridCol w:w="1951"/>
        <w:gridCol w:w="631"/>
        <w:gridCol w:w="5416"/>
      </w:tblGrid>
      <w:tr>
        <w:trPr/>
        <w:tc>
          <w:tcPr>
            <w:tcW w:w="195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00"/>
              <w:jc w:val="left"/>
              <w:rPr/>
            </w:pPr>
            <w:r>
              <w:rPr/>
              <w:t> </w:t>
            </w:r>
          </w:p>
        </w:tc>
        <w:tc>
          <w:tcPr>
            <w:tcW w:w="5416" w:type="dxa"/>
            <w:tcBorders/>
            <w:tcMar>
              <w:top w:w="0" w:type="dxa"/>
              <w:left w:w="0" w:type="dxa"/>
              <w:bottom w:w="0" w:type="dxa"/>
              <w:right w:w="0" w:type="dxa"/>
            </w:tcMar>
            <w:vAlign w:val="center"/>
          </w:tcPr>
          <w:p>
            <w:pPr>
              <w:pStyle w:val="TableContents"/>
              <w:bidi w:val="0"/>
              <w:spacing w:before="0" w:after="200"/>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MARCHEX,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60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416" w:type="dxa"/>
            <w:tcBorders/>
            <w:tcMar>
              <w:top w:w="0" w:type="dxa"/>
              <w:left w:w="0" w:type="dxa"/>
              <w:bottom w:w="0" w:type="dxa"/>
              <w:right w:w="0" w:type="dxa"/>
            </w:tcMar>
            <w:vAlign w:val="center"/>
          </w:tcPr>
          <w:p>
            <w:pPr>
              <w:pStyle w:val="TableContents"/>
              <w:pBdr>
                <w:bottom w:val="single" w:sz="6" w:space="1" w:color="000000"/>
              </w:pBdr>
              <w:bidi w:val="0"/>
              <w:spacing w:before="0" w:after="20"/>
              <w:jc w:val="center"/>
              <w:rPr>
                <w:rFonts w:ascii="Times New Roman" w:hAnsi="Times New Roman"/>
                <w:sz w:val="20"/>
              </w:rPr>
            </w:pP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BRIAN NAGLE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Brian Nagle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4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 ("CFO")</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2" w:name="mchx-ex99_1.htm"/>
      <w:bookmarkStart w:id="3" w:name="ksmchxex99_1"/>
      <w:bookmarkEnd w:id="2"/>
      <w:bookmarkEnd w:id="3"/>
      <w:r>
        <w:rPr>
          <w:rFonts w:ascii="Times New Roman" w:hAnsi="Times New Roman"/>
          <w:color w:val="000000"/>
          <w:sz w:val="24"/>
        </w:rPr>
        <w:t>Exhibit 99.1</w:t>
      </w:r>
      <w:r>
        <w:br w:type="page"/>
      </w:r>
    </w:p>
    <w:p>
      <w:pPr>
        <w:pStyle w:val="TextBody"/>
        <w:bidi w:val="0"/>
        <w:spacing w:before="240" w:after="283"/>
        <w:jc w:val="center"/>
        <w:rPr>
          <w:rFonts w:ascii="Times New Roman" w:hAnsi="Times New Roman"/>
          <w:b/>
          <w:color w:val="000000"/>
          <w:sz w:val="22"/>
        </w:rPr>
      </w:pPr>
      <w:bookmarkStart w:id="4" w:name="range_a1_d62"/>
      <w:bookmarkEnd w:id="4"/>
      <w:r>
        <w:rPr>
          <w:rFonts w:ascii="Times New Roman" w:hAnsi="Times New Roman"/>
          <w:b/>
          <w:color w:val="000000"/>
          <w:sz w:val="22"/>
        </w:rPr>
        <w:t>Marchex Announces Second Quarter 2026 Financial Results</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Reports Improved Profitability and Early Momentum Following Archenia Acquisition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SEATTLE, WA – August 12, 2026 – </w:t>
      </w:r>
      <w:r>
        <w:rPr>
          <w:rFonts w:ascii="Times New Roman" w:hAnsi="Times New Roman"/>
          <w:sz w:val="24"/>
        </w:rPr>
        <w:t>Marchex, Inc.</w:t>
      </w:r>
      <w:r>
        <w:rPr>
          <w:rFonts w:ascii="Times New Roman" w:hAnsi="Times New Roman"/>
          <w:color w:val="000000"/>
          <w:sz w:val="20"/>
        </w:rPr>
        <w:t xml:space="preserve"> </w:t>
      </w:r>
      <w:r>
        <w:rPr>
          <w:rFonts w:ascii="Times New Roman" w:hAnsi="Times New Roman"/>
          <w:color w:val="000000"/>
          <w:sz w:val="24"/>
        </w:rPr>
        <w:t>(NASDAQ: MCHX), a vertically focused, AI-driven conversation analytics, customer acquisition and optimization company, today announced its financial results for the second quarter ended June 30, 2026.</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Marchex Q2 2026 Financial Highlights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Revenue was $11.0 million for the second quarter of 2026, compared to $11.7 million for the second quarter of 2025. </w:t>
      </w:r>
    </w:p>
    <w:p>
      <w:pPr>
        <w:pStyle w:val="TextBody"/>
        <w:bidi w:val="0"/>
        <w:spacing w:before="240" w:after="180"/>
        <w:jc w:val="left"/>
        <w:rPr>
          <w:color w:val="000000"/>
        </w:rPr>
      </w:pPr>
      <w:r>
        <w:rPr>
          <w:color w:val="000000"/>
        </w:rPr>
        <w:t>•</w:t>
      </w:r>
    </w:p>
    <w:p>
      <w:pPr>
        <w:pStyle w:val="TextBody"/>
        <w:bidi w:val="0"/>
        <w:spacing w:before="240" w:after="180"/>
        <w:jc w:val="left"/>
        <w:rPr>
          <w:rFonts w:ascii="Times New Roman" w:hAnsi="Times New Roman"/>
          <w:color w:val="000000"/>
          <w:sz w:val="24"/>
        </w:rPr>
      </w:pPr>
      <w:r>
        <w:rPr>
          <w:rFonts w:ascii="Times New Roman" w:hAnsi="Times New Roman"/>
          <w:color w:val="000000"/>
          <w:sz w:val="24"/>
        </w:rPr>
        <w:t>Net loss was $0.4 million or $(0.01) per diluted share for the second quarter of 2026, compared with net income of $0.1 million or $0.00 per diluted share for the second quarter of 2025.</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Adjusted earnings before interest, taxes, depreciation, and amortization ("EBITDA") was $0.7 million for the second quarter of 2026, compared with $0.6 million for the second quarter of 2025. Adjusted EBITDA includes $1.0 million of reorganization and acquisition-related costs. Adjusted EBITDA before those costs was $1.7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Adjusted non-GAAP income per share was $0.00 for the second quarter of 2026, compared with $0.02 for the second quarter of 2025.</w:t>
      </w:r>
    </w:p>
    <w:p>
      <w:pPr>
        <w:pStyle w:val="TextBody"/>
        <w:bidi w:val="0"/>
        <w:jc w:val="left"/>
        <w:rPr/>
      </w:pPr>
      <w:r>
        <w:rPr/>
        <w:t> </w:t>
      </w:r>
    </w:p>
    <w:p>
      <w:pPr>
        <w:pStyle w:val="TextBody"/>
        <w:bidi w:val="0"/>
        <w:spacing w:before="120" w:after="283"/>
        <w:jc w:val="left"/>
        <w:rPr>
          <w:rFonts w:ascii="Times New Roman" w:hAnsi="Times New Roman"/>
          <w:b/>
          <w:color w:val="000000"/>
          <w:sz w:val="24"/>
          <w:u w:val="single"/>
        </w:rPr>
      </w:pPr>
      <w:r>
        <w:rPr>
          <w:rFonts w:ascii="Times New Roman" w:hAnsi="Times New Roman"/>
          <w:b/>
          <w:color w:val="000000"/>
          <w:sz w:val="24"/>
          <w:u w:val="single"/>
        </w:rPr>
        <w:t>Pro Forma Combined Marchex and Archenia 2026 Financial Highlights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Because the acquisition closed on July 1, 2026, Marchex’s reported second-quarter results do not include Archenia. The following supplemental unaudited pro forma results present the companies on a combined basis for the periods shown.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For the first quarter of 2026, pro forma combined Revenue was $14.4 million and Adjusted EBITDA was a loss of $0.1 million, which includes $0.7 million of reorganization and acquisition-related costs. Adjusted EBITDA before those costs was $0.6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For the second quarter of 2026, pro forma combined Revenue was $15.5 million and Adjusted EBITDA was $1.0 million, including $1.0 million of reorganization and acquisition-related costs. Adjusted EBITDA before those costs was $2.0 million.</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4"/>
        </w:rPr>
        <w:t>The acquisition of Archenia advances our strategy of extending Marchex’s conversational intelligence capabilities from insights to actions and measurable outcomes,” said Russell Horowitz, Chairman of Marchex. “By combining our first-party conversational data and analytics with Archenia’s customer-qualification and acquisition technology, we can deliver greater value to customers while expanding our revenue opportunities. While we operate in a rapidly evolving and dynamic industry with uncertainties and various risks, we believe that the combined company can achieve greater revenue scale and growth, higher margins, expanded market reach, and enhanced strategic flexibility. Early customer adoption is encouraging and based on this, we plan to make selective investments in incremental sales and product development to support our 2027 growth opportunities.”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Financial Outlook</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THE FOLLOWING FORWARD-LOOKING LOOKING STATEMENTS REFLECT MARCHEX’S EXPECTATIONS AS OF AUGUST 12,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The Company currently anticipates that pro forma combined financial results for the three months ending September 30, 2026 will be in the range of (in millions):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52"/>
        <w:gridCol w:w="1710"/>
        <w:gridCol w:w="1894"/>
        <w:gridCol w:w="1849"/>
      </w:tblGrid>
      <w:tr>
        <w:trPr/>
        <w:tc>
          <w:tcPr>
            <w:tcW w:w="4752"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r>
      <w:tr>
        <w:trPr/>
        <w:tc>
          <w:tcPr>
            <w:tcW w:w="475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c>
          <w:tcPr>
            <w:tcW w:w="1710"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24"/>
              </w:rPr>
            </w:pPr>
            <w:r>
              <w:rPr>
                <w:rFonts w:ascii="Times New Roman" w:hAnsi="Times New Roman"/>
                <w:b/>
                <w:color w:val="000000"/>
                <w:sz w:val="24"/>
              </w:rPr>
              <w:t>First Quarter 2026</w:t>
            </w:r>
          </w:p>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(actual)</w:t>
            </w:r>
          </w:p>
        </w:tc>
        <w:tc>
          <w:tcPr>
            <w:tcW w:w="1894"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24"/>
              </w:rPr>
            </w:pPr>
            <w:r>
              <w:rPr>
                <w:rFonts w:ascii="Times New Roman" w:hAnsi="Times New Roman"/>
                <w:b/>
                <w:color w:val="000000"/>
                <w:sz w:val="24"/>
              </w:rPr>
              <w:t>Second Quarter 2026</w:t>
            </w:r>
          </w:p>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(actual)</w:t>
            </w:r>
          </w:p>
        </w:tc>
        <w:tc>
          <w:tcPr>
            <w:tcW w:w="1849"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24"/>
              </w:rPr>
            </w:pPr>
            <w:r>
              <w:rPr>
                <w:rFonts w:ascii="Times New Roman" w:hAnsi="Times New Roman"/>
                <w:b/>
                <w:color w:val="000000"/>
                <w:sz w:val="24"/>
              </w:rPr>
              <w:t>Third Quarter 2026</w:t>
            </w:r>
          </w:p>
          <w:p>
            <w:pPr>
              <w:pStyle w:val="TableContents"/>
              <w:bidi w:val="0"/>
              <w:spacing w:before="0" w:after="283"/>
              <w:jc w:val="center"/>
              <w:rPr>
                <w:rFonts w:ascii="Times New Roman" w:hAnsi="Times New Roman"/>
                <w:sz w:val="24"/>
              </w:rPr>
            </w:pPr>
            <w:r>
              <w:rPr>
                <w:rFonts w:ascii="Times New Roman" w:hAnsi="Times New Roman"/>
                <w:b/>
                <w:color w:val="000000"/>
                <w:sz w:val="24"/>
              </w:rPr>
              <w:t>(outlook)</w:t>
            </w:r>
            <w:r>
              <w:rPr>
                <w:rFonts w:ascii="Times New Roman" w:hAnsi="Times New Roman"/>
                <w:color w:val="000000"/>
                <w:sz w:val="24"/>
              </w:rPr>
              <w:t xml:space="preserve"> </w:t>
            </w:r>
          </w:p>
        </w:tc>
      </w:tr>
      <w:tr>
        <w:trPr/>
        <w:tc>
          <w:tcPr>
            <w:tcW w:w="475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Revenue</w:t>
            </w:r>
          </w:p>
        </w:tc>
        <w:tc>
          <w:tcPr>
            <w:tcW w:w="171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$14.4</w:t>
            </w:r>
          </w:p>
        </w:tc>
        <w:tc>
          <w:tcPr>
            <w:tcW w:w="189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$15.5</w:t>
            </w:r>
          </w:p>
        </w:tc>
        <w:tc>
          <w:tcPr>
            <w:tcW w:w="184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$16.0 - $16.5</w:t>
            </w:r>
          </w:p>
        </w:tc>
      </w:tr>
      <w:tr>
        <w:trPr/>
        <w:tc>
          <w:tcPr>
            <w:tcW w:w="475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Adjusted EBITDA, net of reorganization and acquisition costs</w:t>
            </w:r>
          </w:p>
        </w:tc>
        <w:tc>
          <w:tcPr>
            <w:tcW w:w="1710" w:type="dxa"/>
            <w:tcBorders>
              <w:bottom w:val="single" w:sz="4" w:space="0" w:color="000000"/>
              <w:right w:val="single" w:sz="4" w:space="0" w:color="000000"/>
            </w:tcBorders>
            <w:tcMar>
              <w:top w:w="0" w:type="dxa"/>
              <w:lef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$0.6</w:t>
            </w:r>
          </w:p>
        </w:tc>
        <w:tc>
          <w:tcPr>
            <w:tcW w:w="1894" w:type="dxa"/>
            <w:tcBorders>
              <w:bottom w:val="single" w:sz="4" w:space="0" w:color="000000"/>
              <w:right w:val="single" w:sz="4" w:space="0" w:color="000000"/>
            </w:tcBorders>
            <w:tcMar>
              <w:top w:w="0" w:type="dxa"/>
              <w:lef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$2.0</w:t>
            </w:r>
          </w:p>
        </w:tc>
        <w:tc>
          <w:tcPr>
            <w:tcW w:w="1849" w:type="dxa"/>
            <w:tcBorders>
              <w:bottom w:val="single" w:sz="4" w:space="0" w:color="000000"/>
              <w:right w:val="single" w:sz="4" w:space="0" w:color="000000"/>
            </w:tcBorders>
            <w:tcMar>
              <w:top w:w="0" w:type="dxa"/>
              <w:lef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$2.3 - $2.5</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Marchex will provide its Fourth Quarter 2026 Financial Outlook and initial 2027 business outlook when it reports its Third Quarter 2026 Financial results, currently anticipated in early November 2026.</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Customer, Product, and New Growth Opportunities Updates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Marchex and Archenia have been jointly developing and selling new solutions combining the capabilities of the companies. These offerings leverage Marchex’s data and AI signals with Archenia’s AI tool sets and user interface, including AI-verified outcomes, which drive increased revenue on a Pay-Per-Event basis, and Conversational AI Agents, which help increase customer bookings and appointment rates. Marchex believes its ability to sell these and other combined solutions, which reflect the bundling of insights, actions and outcomes, to its installed customer base will be a meaningful sales catalyst in 2026 and beyond. In May 2026, Marchex shared that its top 100 customers represent approximately 90% of its revenue, and this customer base has been the initial focus for presenting the products which leverage the combined capabilities of the companies. At that time, Marchex had made presentations to nearly one third of these customers, approximately half of whom have already purchased one or more of these products on a recurring or paid pilot basis. Of those remaining, Marchex stated that it believes that over time, the majority are also likely to purchase one or more of these products on a recurring or paid pilot basis. Since this time, the company has continued to see further progress and validation with these efforts.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Examples of recent, successful sales of combined products to existing customers include: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 An existing home services client, representing approximately $500,000 in annualized analytics revenue, adopted Archenia’s AI-verified outcomes, increasing total annualized revenue from the customer to more than $1 million.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 An existing auto services customer, representing more than $300,000 in annualized analytics revenue, adopted a paid pilot program to improve sales agent behaviors at 40 retail locations, since expanding to more than 60 locations. This customer operates thousands of retail locations and if the pilot is converted into broader adoption, Marchex believes the customer can represent $1 million or more in annualized revenue.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(3) An existing advertising/media customer, representing approximately $400,000 in annualized analytics revenue, launched a paid pilot program using the Marchex’s Conversational AI Agent to improve call handling. If the pilot is converted, Marchex believes the program could contribute incremental revenue in 2026 as well as increase annualized revenue from this customer by 50% or more in 2027.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Archenia Transaction Update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On July 1, 2026, the Company consummated the previously-announced acquisition of Archenia.</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Marchex’s acquisition of Archenia creates a vertically focused, AI-driven customer acquisition and outcome-optimization platform. Marchex brings a deep foundation of first-party data, derived from years of analyzing customer conversations for many industry-leading companies, with Archenia adding AI-powered lead qualification, conversational IVR, performance marketing infrastructure, and expertise in activating call intelligence at scale. Together, the companies provide a comprehensive platform that connects customer insights, automated actions, and measurable business outcomes.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u w:val="single"/>
        </w:rPr>
        <w:t>About Marchex</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Marchex and Archenia together harness proprietary AI-powered conversational intelligence and advanced customer acquisition technologies to transform consumer intent into actionable, outcome-driven business results. The combination of Marchex's prescriptive analytics and omnichannel intelligence with Archenia's AI-verified qualification, natural-language analytics, and automated decisioning capabilities creates a highly differentiated customer acquisition and optimization technology platform. Leveraging real-time AI signals, machine-learning models, and deep vertical market expertise, the company identifies consumer intent, improves qualification accuracy, and delivers verified outcomes such as high-intent conversations, appointments, and sales. Serving market leading companies across major verticals including automotive, insurance, home services, healthcare, and advertising/media, Marchex empowers organizations to optimize customer engagement and drive revenue growth through AI-driven insights, actions, and outcomes.</w:t>
      </w:r>
    </w:p>
    <w:p>
      <w:pPr>
        <w:pStyle w:val="TextBody"/>
        <w:bidi w:val="0"/>
        <w:spacing w:before="240" w:after="283"/>
        <w:jc w:val="left"/>
        <w:rPr>
          <w:rFonts w:ascii="Times New Roman" w:hAnsi="Times New Roman"/>
          <w:sz w:val="20"/>
        </w:rPr>
      </w:pPr>
      <w:r>
        <w:rPr>
          <w:rFonts w:ascii="Times New Roman" w:hAnsi="Times New Roman"/>
          <w:color w:val="000000"/>
          <w:sz w:val="24"/>
        </w:rPr>
        <w:t>Please visit </w:t>
      </w:r>
      <w:r>
        <w:rPr>
          <w:rFonts w:ascii="Times New Roman" w:hAnsi="Times New Roman"/>
          <w:sz w:val="24"/>
        </w:rPr>
        <w:t>www.marchex.com</w:t>
      </w:r>
      <w:r>
        <w:rPr>
          <w:rFonts w:ascii="Times New Roman" w:hAnsi="Times New Roman"/>
          <w:color w:val="000000"/>
          <w:sz w:val="24"/>
        </w:rPr>
        <w:t>, </w:t>
      </w:r>
      <w:r>
        <w:rPr>
          <w:rFonts w:ascii="Times New Roman" w:hAnsi="Times New Roman"/>
          <w:sz w:val="24"/>
        </w:rPr>
        <w:t>www.marchex.com/blog</w:t>
      </w:r>
      <w:r>
        <w:rPr>
          <w:rFonts w:ascii="Times New Roman" w:hAnsi="Times New Roman"/>
          <w:color w:val="000000"/>
          <w:sz w:val="24"/>
        </w:rPr>
        <w:t>, or </w:t>
      </w:r>
      <w:r>
        <w:rPr>
          <w:rFonts w:ascii="Times New Roman" w:hAnsi="Times New Roman"/>
          <w:sz w:val="24"/>
        </w:rPr>
        <w:t>@marchex</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X, where Marchex discloses material information from time to time about the Company, its financial information, and its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Forward-Looking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Certain statements included above contain forward-looking statements that involve substantial risks and uncertainties. All statements, other than statements of historical facts, included herein regarding Archenia’s estimated financial results and benefits of the combination, and the Company’s strategy, future operations, future financial position, future revenues, other financial guidance, acquisitions, dispositions, projected costs, prospects, plans and objectives of management are forward-looking statements. The Company may not actually achieve the plans, intentions, or expectations disclosed in its forward-looking statements and you should not place undue reliance on such statements. Actual results or events could differ materially from the plans, intentions and expectations disclosed in such statements due to a number of important factors, including but not limited to product demand, order cancellations and delays, competition, changes in business strategy or development plans, and general economic and business conditions. These factors are described in greater detail in the “Risk Factors” section of the Company’s most recent periodic report or registration statement filed with the SEC. All of the information provided herein is as of August 12, 2026 and the Company undertakes no duty to update the information provided herein.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In the event the earnings release contains links to third party websites or materials, the links are provided solely as a convenience to the user. Marchex is not responsible for the content of linked third-party sites or materials and does not make any representations regarding the content or accuracy thereof.</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Non-GAAP Financial Information</w:t>
      </w:r>
    </w:p>
    <w:p>
      <w:pPr>
        <w:pStyle w:val="TextBody"/>
        <w:bidi w:val="0"/>
        <w:spacing w:before="240" w:after="283"/>
        <w:jc w:val="left"/>
        <w:rPr>
          <w:rFonts w:ascii="Times New Roman" w:hAnsi="Times New Roman"/>
          <w:sz w:val="20"/>
        </w:rPr>
      </w:pPr>
      <w:r>
        <w:rPr>
          <w:rFonts w:ascii="Times New Roman" w:hAnsi="Times New Roman"/>
          <w:color w:val="000000"/>
          <w:sz w:val="24"/>
        </w:rPr>
        <w:t>To supplement Marchex's consolidated financial statements presented in accordance with GAAP and to provide clarity internally and externally, Marchex uses certain non-GAAP measures of financial performance and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liquidity, including adjusted EBITDA and adjusted non-GAAP income (loss) per share. Financial analysts and investors may use adjusted EBITDA to help with comparative financial evaluation to make informed investment decisions. Financial analysts and investors may use adjusted non-GAAP income (loss) per share to analyze Marchex's financial performance since these groups have historically used earnings per share related measures, along with other measures, to estimate the value of a Company, to make informed investment decisions, and to evaluate a Company's operating performance compared to that of other companies in its industry.</w:t>
      </w:r>
    </w:p>
    <w:p>
      <w:pPr>
        <w:pStyle w:val="TextBody"/>
        <w:bidi w:val="0"/>
        <w:jc w:val="left"/>
        <w:rPr>
          <w:rFonts w:ascii="Times New Roman" w:hAnsi="Times New Roman"/>
          <w:sz w:val="20"/>
        </w:rPr>
      </w:pPr>
      <w:r>
        <w:rPr>
          <w:rFonts w:ascii="Times New Roman" w:hAnsi="Times New Roman"/>
          <w:i/>
          <w:color w:val="000000"/>
          <w:sz w:val="24"/>
          <w:u w:val="single"/>
        </w:rPr>
        <w:t>Adjusted EBITDA</w:t>
      </w:r>
      <w:r>
        <w:rPr>
          <w:rFonts w:ascii="Times New Roman" w:hAnsi="Times New Roman"/>
          <w:color w:val="000000"/>
          <w:sz w:val="20"/>
        </w:rPr>
        <w:t xml:space="preserve"> </w:t>
      </w:r>
      <w:r>
        <w:rPr>
          <w:rFonts w:ascii="Times New Roman" w:hAnsi="Times New Roman"/>
          <w:color w:val="000000"/>
          <w:sz w:val="24"/>
        </w:rPr>
        <w:t>represents net income (loss) before (1) interest, (2) income taxes, (3) amortization of intangible assets from acquisitions, (4) depreciation and amortization, (5) stock-based compensation expense, and (6) acquisition and disposition-related costs. Adjusted EBITDA is a metric by which Marchex has evaluated the performance of its business, to include being the basis on which Marchex's internal budgets have been based and by which Marchex's management has been evaluated. This measure is used by our management to understand and evaluate our core operating performance and trends, and management believes it provides meaningful information regarding the Company's liquidity and ability to fund its operations and financing obligations.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i/>
          <w:color w:val="000000"/>
          <w:sz w:val="24"/>
          <w:u w:val="single"/>
        </w:rPr>
        <w:t>Adjusted non-GAAP income (loss) per share</w:t>
      </w:r>
      <w:r>
        <w:rPr>
          <w:rFonts w:ascii="Times New Roman" w:hAnsi="Times New Roman"/>
          <w:color w:val="000000"/>
          <w:sz w:val="20"/>
        </w:rPr>
        <w:t xml:space="preserve"> </w:t>
      </w:r>
      <w:r>
        <w:rPr>
          <w:rFonts w:ascii="Times New Roman" w:hAnsi="Times New Roman"/>
          <w:color w:val="000000"/>
          <w:sz w:val="24"/>
        </w:rPr>
        <w:t>represents adjusted non-GAAP income (loss) divided by GAAP diluted shares outstanding. Adjusted non-GAAP income (loss) generally captures those items on the statement of operations that have been, or ultimately will be, settled in cash exclusive of certain items that are not indicative of Marchex’s recurring core operating results and represents net income (loss) applicable to common stockholders plus the net of tax effects of: (1) stock-based compensation expense, (2) acquisition and disposition related costs, (3) amortization of intangible assets from acquisitions, and (4) interest (income) expense and other, net.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Marchex's management believes that investors should have access to, and Marchex is obligated to provide, the same set of tools that management uses in analyzing the Company's results. These non-GAAP measures should be considered in addition to results prepared in accordance with GAAP, and should not be considered in isolation, as a substitute for, or superior to, GAAP results. Marchex’s non-GAAP financial measures may be defined differently from time to time and may be defined differently than similar titled terms used by other companies, and accordingly, care should be exercised in understanding how Marchex defines its non-GAAP financial measures in this release. Marchex endeavors to compensate for the limitations of the non-GAAP measures presented by providing the comparable GAAP measure with equal or greater prominence, GAAP financial statements, and detailed descriptions of the reconciling items and adjustments, including quantifying such items, to derive the non-GAAP measure.</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For further information, contact:</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color w:val="000000"/>
          <w:sz w:val="24"/>
        </w:rPr>
        <w:t>Marchex Investor Relations</w:t>
        <w:br/>
        <w:t xml:space="preserve">Email: </w:t>
      </w:r>
      <w:r>
        <w:rPr>
          <w:rFonts w:ascii="Times New Roman" w:hAnsi="Times New Roman"/>
          <w:sz w:val="24"/>
        </w:rPr>
        <w:t>ir@marchex.com</w:t>
      </w:r>
    </w:p>
    <w:p>
      <w:pPr>
        <w:pStyle w:val="TextBody"/>
        <w:bidi w:val="0"/>
        <w:jc w:val="left"/>
        <w:rPr>
          <w:rFonts w:ascii="Times New Roman" w:hAnsi="Times New Roman"/>
          <w:color w:val="000000"/>
          <w:sz w:val="24"/>
        </w:rPr>
      </w:pPr>
      <w:r>
        <w:rPr>
          <w:rFonts w:ascii="Times New Roman" w:hAnsi="Times New Roman"/>
          <w:color w:val="000000"/>
          <w:sz w:val="24"/>
        </w:rPr>
        <w:t>Or</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Marchex Corporate Communications</w:t>
      </w:r>
    </w:p>
    <w:p>
      <w:pPr>
        <w:pStyle w:val="TextBody"/>
        <w:bidi w:val="0"/>
        <w:jc w:val="left"/>
        <w:rPr>
          <w:rFonts w:ascii="Times New Roman" w:hAnsi="Times New Roman"/>
          <w:sz w:val="20"/>
        </w:rPr>
      </w:pPr>
      <w:r>
        <w:rPr>
          <w:rFonts w:ascii="Times New Roman" w:hAnsi="Times New Roman"/>
          <w:color w:val="000000"/>
          <w:sz w:val="24"/>
        </w:rPr>
        <w:t xml:space="preserve">Email: </w:t>
      </w:r>
      <w:r>
        <w:rPr>
          <w:rFonts w:ascii="Times New Roman" w:hAnsi="Times New Roman"/>
          <w:sz w:val="24"/>
        </w:rPr>
        <w:t>pr@marchex.com</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MARCHEX, INC. AND SUBSIDIARIES</w:t>
      </w:r>
    </w:p>
    <w:p>
      <w:pPr>
        <w:pStyle w:val="TextBody"/>
        <w:bidi w:val="0"/>
        <w:jc w:val="center"/>
        <w:rPr>
          <w:rFonts w:ascii="Times New Roman" w:hAnsi="Times New Roman"/>
          <w:b/>
          <w:color w:val="000000"/>
          <w:sz w:val="24"/>
        </w:rPr>
      </w:pPr>
      <w:r>
        <w:rPr>
          <w:rFonts w:ascii="Times New Roman" w:hAnsi="Times New Roman"/>
          <w:b/>
          <w:color w:val="000000"/>
          <w:sz w:val="24"/>
        </w:rPr>
        <w:t>Consolidated Statements of Operations</w:t>
      </w:r>
    </w:p>
    <w:p>
      <w:pPr>
        <w:pStyle w:val="TextBody"/>
        <w:bidi w:val="0"/>
        <w:jc w:val="center"/>
        <w:rPr>
          <w:rFonts w:ascii="Times New Roman" w:hAnsi="Times New Roman"/>
          <w:b/>
          <w:color w:val="000000"/>
          <w:sz w:val="24"/>
        </w:rPr>
      </w:pPr>
      <w:r>
        <w:rPr>
          <w:rFonts w:ascii="Times New Roman" w:hAnsi="Times New Roman"/>
          <w:b/>
          <w:color w:val="000000"/>
          <w:sz w:val="24"/>
        </w:rPr>
        <w:t>(In Thousands, except per share amounts)</w:t>
      </w:r>
    </w:p>
    <w:p>
      <w:pPr>
        <w:pStyle w:val="TextBody"/>
        <w:bidi w:val="0"/>
        <w:jc w:val="center"/>
        <w:rPr>
          <w:rFonts w:ascii="Times New Roman" w:hAnsi="Times New Roman"/>
          <w:b/>
          <w:color w:val="000000"/>
          <w:sz w:val="24"/>
        </w:rPr>
      </w:pPr>
      <w:r>
        <w:rPr>
          <w:rFonts w:ascii="Times New Roman" w:hAnsi="Times New Roman"/>
          <w:b/>
          <w:color w:val="000000"/>
          <w:sz w:val="24"/>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889"/>
        <w:gridCol w:w="146"/>
        <w:gridCol w:w="220"/>
        <w:gridCol w:w="706"/>
        <w:gridCol w:w="173"/>
        <w:gridCol w:w="152"/>
        <w:gridCol w:w="220"/>
        <w:gridCol w:w="706"/>
        <w:gridCol w:w="166"/>
        <w:gridCol w:w="146"/>
        <w:gridCol w:w="211"/>
        <w:gridCol w:w="676"/>
        <w:gridCol w:w="166"/>
        <w:gridCol w:w="146"/>
        <w:gridCol w:w="211"/>
        <w:gridCol w:w="676"/>
        <w:gridCol w:w="595"/>
      </w:tblGrid>
      <w:tr>
        <w:trPr/>
        <w:tc>
          <w:tcPr>
            <w:tcW w:w="4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48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23,058</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Cost of revenue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8,246</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capitalized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color w:val="000000"/>
              </w:rPr>
              <w:t>      </w:t>
            </w:r>
            <w:r>
              <w:rPr>
                <w:rFonts w:ascii="Times New Roman" w:hAnsi="Times New Roman"/>
                <w:color w:val="000000"/>
                <w:sz w:val="20"/>
              </w:rPr>
              <w:t xml:space="preserve">Total cost of revenue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8,256</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Sales and marketing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6,431</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Product development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5,173</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5,604</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8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11,348</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25,464</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(expense)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applicable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income (loss) per Class A and B share applicable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to calculate basic net income (loss) per share applicable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39,151</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to calculate diluted net income (loss) per share applicable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43,812</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Includes stock-based compensation allocated as follows: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MARCHEX, INC. AND SUBSIDIARIES</w:t>
      </w:r>
    </w:p>
    <w:p>
      <w:pPr>
        <w:pStyle w:val="TextBody"/>
        <w:bidi w:val="0"/>
        <w:jc w:val="center"/>
        <w:rPr>
          <w:rFonts w:ascii="Times New Roman" w:hAnsi="Times New Roman"/>
          <w:b/>
          <w:color w:val="000000"/>
          <w:sz w:val="24"/>
        </w:rPr>
      </w:pPr>
      <w:r>
        <w:rPr>
          <w:rFonts w:ascii="Times New Roman" w:hAnsi="Times New Roman"/>
          <w:b/>
          <w:color w:val="000000"/>
          <w:sz w:val="24"/>
        </w:rPr>
        <w:t>Consolidated Balance Sheets</w:t>
      </w:r>
    </w:p>
    <w:p>
      <w:pPr>
        <w:pStyle w:val="TextBody"/>
        <w:bidi w:val="0"/>
        <w:jc w:val="center"/>
        <w:rPr>
          <w:rFonts w:ascii="Times New Roman" w:hAnsi="Times New Roman"/>
          <w:b/>
          <w:color w:val="000000"/>
          <w:sz w:val="24"/>
        </w:rPr>
      </w:pPr>
      <w:r>
        <w:rPr>
          <w:rFonts w:ascii="Times New Roman" w:hAnsi="Times New Roman"/>
          <w:b/>
          <w:color w:val="000000"/>
          <w:sz w:val="24"/>
        </w:rPr>
        <w:t>(In Thousands)</w:t>
      </w:r>
    </w:p>
    <w:p>
      <w:pPr>
        <w:pStyle w:val="TextBody"/>
        <w:bidi w:val="0"/>
        <w:jc w:val="center"/>
        <w:rPr/>
      </w:pPr>
      <w:r>
        <w:rPr/>
        <w:t> </w:t>
      </w:r>
    </w:p>
    <w:tbl>
      <w:tblPr>
        <w:tblW w:w="8762" w:type="dxa"/>
        <w:jc w:val="left"/>
        <w:tblInd w:w="0" w:type="dxa"/>
        <w:tblLayout w:type="fixed"/>
        <w:tblCellMar>
          <w:top w:w="28" w:type="dxa"/>
          <w:left w:w="28" w:type="dxa"/>
          <w:bottom w:w="28" w:type="dxa"/>
          <w:right w:w="28" w:type="dxa"/>
        </w:tblCellMar>
      </w:tblPr>
      <w:tblGrid>
        <w:gridCol w:w="4366"/>
        <w:gridCol w:w="146"/>
        <w:gridCol w:w="211"/>
        <w:gridCol w:w="841"/>
        <w:gridCol w:w="166"/>
        <w:gridCol w:w="146"/>
        <w:gridCol w:w="219"/>
        <w:gridCol w:w="876"/>
        <w:gridCol w:w="1791"/>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0"/>
              <w:jc w:val="center"/>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1600"/>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9,942</w:t>
            </w:r>
          </w:p>
        </w:tc>
        <w:tc>
          <w:tcPr>
            <w:tcW w:w="1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6,670</w:t>
            </w:r>
          </w:p>
        </w:tc>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1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19,037</w:t>
            </w:r>
          </w:p>
        </w:tc>
        <w:tc>
          <w:tcPr>
            <w:tcW w:w="1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w:t>
            </w:r>
          </w:p>
        </w:tc>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17,558</w:t>
            </w:r>
          </w:p>
        </w:tc>
        <w:tc>
          <w:tcPr>
            <w:tcW w:w="1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39,680</w:t>
            </w:r>
          </w:p>
        </w:tc>
        <w:tc>
          <w:tcPr>
            <w:tcW w:w="1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2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w:t>
            </w:r>
          </w:p>
        </w:tc>
        <w:tc>
          <w:tcPr>
            <w:tcW w:w="1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benefits and payroll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expenses and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w:t>
            </w:r>
          </w:p>
        </w:tc>
        <w:tc>
          <w:tcPr>
            <w:tcW w:w="1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and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8,065</w:t>
            </w:r>
          </w:p>
        </w:tc>
        <w:tc>
          <w:tcPr>
            <w:tcW w:w="1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w:t>
            </w:r>
          </w:p>
        </w:tc>
        <w:tc>
          <w:tcPr>
            <w:tcW w:w="1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361,057</w:t>
            </w:r>
          </w:p>
        </w:tc>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(333,545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(331,413</w:t>
            </w:r>
          </w:p>
        </w:tc>
        <w:tc>
          <w:tcPr>
            <w:tcW w:w="1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30,085</w:t>
            </w:r>
          </w:p>
        </w:tc>
        <w:tc>
          <w:tcPr>
            <w:tcW w:w="1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39,680</w:t>
            </w:r>
          </w:p>
        </w:tc>
        <w:tc>
          <w:tcPr>
            <w:tcW w:w="1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MARCHEX, INC. AND SUBSIDIARIES</w:t>
      </w:r>
    </w:p>
    <w:p>
      <w:pPr>
        <w:pStyle w:val="TextBody"/>
        <w:bidi w:val="0"/>
        <w:jc w:val="center"/>
        <w:rPr>
          <w:rFonts w:ascii="Times New Roman" w:hAnsi="Times New Roman"/>
          <w:b/>
          <w:color w:val="000000"/>
          <w:sz w:val="24"/>
        </w:rPr>
      </w:pPr>
      <w:r>
        <w:rPr>
          <w:rFonts w:ascii="Times New Roman" w:hAnsi="Times New Roman"/>
          <w:b/>
          <w:color w:val="000000"/>
          <w:sz w:val="24"/>
        </w:rPr>
        <w:t>(In Thousands)</w:t>
      </w:r>
    </w:p>
    <w:p>
      <w:pPr>
        <w:pStyle w:val="TextBody"/>
        <w:bidi w:val="0"/>
        <w:jc w:val="center"/>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Reconciliation of Net Income (Loss) to Adjusted EBITDA</w:t>
      </w:r>
    </w:p>
    <w:p>
      <w:pPr>
        <w:pStyle w:val="TextBody"/>
        <w:bidi w:val="0"/>
        <w:jc w:val="center"/>
        <w:rPr/>
      </w:pPr>
      <w:r>
        <w:rPr/>
        <w:t> </w:t>
      </w:r>
    </w:p>
    <w:tbl>
      <w:tblPr>
        <w:tblW w:w="10034" w:type="dxa"/>
        <w:jc w:val="left"/>
        <w:tblInd w:w="0" w:type="dxa"/>
        <w:tblLayout w:type="fixed"/>
        <w:tblCellMar>
          <w:top w:w="28" w:type="dxa"/>
          <w:left w:w="28" w:type="dxa"/>
          <w:bottom w:w="28" w:type="dxa"/>
          <w:right w:w="28" w:type="dxa"/>
        </w:tblCellMar>
      </w:tblPr>
      <w:tblGrid>
        <w:gridCol w:w="4836"/>
        <w:gridCol w:w="146"/>
        <w:gridCol w:w="281"/>
        <w:gridCol w:w="642"/>
        <w:gridCol w:w="221"/>
        <w:gridCol w:w="195"/>
        <w:gridCol w:w="281"/>
        <w:gridCol w:w="642"/>
        <w:gridCol w:w="166"/>
        <w:gridCol w:w="146"/>
        <w:gridCol w:w="218"/>
        <w:gridCol w:w="654"/>
        <w:gridCol w:w="172"/>
        <w:gridCol w:w="151"/>
        <w:gridCol w:w="218"/>
        <w:gridCol w:w="654"/>
        <w:gridCol w:w="411"/>
      </w:tblGrid>
      <w:tr>
        <w:trPr/>
        <w:tc>
          <w:tcPr>
            <w:tcW w:w="4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7"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applicable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(expense)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capitalized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MARCHEX, INC. AND SUBSIDIARIES</w:t>
      </w:r>
    </w:p>
    <w:p>
      <w:pPr>
        <w:pStyle w:val="TextBody"/>
        <w:bidi w:val="0"/>
        <w:jc w:val="center"/>
        <w:rPr>
          <w:rFonts w:ascii="Times New Roman" w:hAnsi="Times New Roman"/>
          <w:b/>
          <w:color w:val="000000"/>
          <w:sz w:val="24"/>
        </w:rPr>
      </w:pPr>
      <w:r>
        <w:rPr>
          <w:rFonts w:ascii="Times New Roman" w:hAnsi="Times New Roman"/>
          <w:b/>
          <w:color w:val="000000"/>
          <w:sz w:val="24"/>
        </w:rPr>
        <w:t>(In Thousands)</w:t>
      </w:r>
    </w:p>
    <w:p>
      <w:pPr>
        <w:pStyle w:val="TextBody"/>
        <w:bidi w:val="0"/>
        <w:jc w:val="center"/>
        <w:rPr>
          <w:rFonts w:ascii="Times New Roman" w:hAnsi="Times New Roman"/>
          <w:b/>
          <w:color w:val="000000"/>
          <w:sz w:val="24"/>
        </w:rPr>
      </w:pPr>
      <w:r>
        <w:rPr>
          <w:rFonts w:ascii="Times New Roman" w:hAnsi="Times New Roman"/>
          <w:b/>
          <w:color w:val="000000"/>
          <w:sz w:val="24"/>
        </w:rPr>
        <w:t>(Unaudited)</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 xml:space="preserve">Reconciliation of Net Income (Loss) per Share to Adjusted Non-GAAP Income (Loss) per Share </w:t>
      </w:r>
      <w:r>
        <w:rPr>
          <w:rFonts w:ascii="Times New Roman" w:hAnsi="Times New Roman"/>
          <w:b/>
          <w:color w:val="000000"/>
          <w:sz w:val="16"/>
        </w:rPr>
        <w:t>(1)</w:t>
      </w:r>
    </w:p>
    <w:tbl>
      <w:tblPr>
        <w:tblW w:w="10205" w:type="dxa"/>
        <w:jc w:val="left"/>
        <w:tblInd w:w="0" w:type="dxa"/>
        <w:tblLayout w:type="fixed"/>
        <w:tblCellMar>
          <w:top w:w="28" w:type="dxa"/>
          <w:left w:w="28" w:type="dxa"/>
          <w:bottom w:w="28" w:type="dxa"/>
          <w:right w:w="28" w:type="dxa"/>
        </w:tblCellMar>
      </w:tblPr>
      <w:tblGrid>
        <w:gridCol w:w="5124"/>
        <w:gridCol w:w="146"/>
        <w:gridCol w:w="217"/>
        <w:gridCol w:w="695"/>
        <w:gridCol w:w="170"/>
        <w:gridCol w:w="150"/>
        <w:gridCol w:w="217"/>
        <w:gridCol w:w="695"/>
        <w:gridCol w:w="146"/>
        <w:gridCol w:w="146"/>
        <w:gridCol w:w="211"/>
        <w:gridCol w:w="676"/>
        <w:gridCol w:w="166"/>
        <w:gridCol w:w="146"/>
        <w:gridCol w:w="211"/>
        <w:gridCol w:w="676"/>
        <w:gridCol w:w="413"/>
      </w:tblGrid>
      <w:tr>
        <w:trPr/>
        <w:tc>
          <w:tcPr>
            <w:tcW w:w="5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51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 applicable to common stockholders,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(expense)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non-GAAP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to calculate diluted net income (loss) per share applicable to common stockholders (GAAP) and adjusted non-GAAP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43,812</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purpose of computing the number of diluted shares for adjusted non-GAAP income (loss) per share, Marchex uses the accounting guidance that would be applicable for computing the number of diluted shares for GAAP net income (loss) per share.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MARCHEX, INC., ARCHENIA, INC., AND SUBSIDIARIES</w:t>
      </w:r>
    </w:p>
    <w:p>
      <w:pPr>
        <w:pStyle w:val="TextBody"/>
        <w:bidi w:val="0"/>
        <w:jc w:val="center"/>
        <w:rPr>
          <w:rFonts w:ascii="Times New Roman" w:hAnsi="Times New Roman"/>
          <w:b/>
          <w:color w:val="000000"/>
          <w:sz w:val="24"/>
        </w:rPr>
      </w:pPr>
      <w:r>
        <w:rPr>
          <w:rFonts w:ascii="Times New Roman" w:hAnsi="Times New Roman"/>
          <w:b/>
          <w:color w:val="000000"/>
          <w:sz w:val="24"/>
        </w:rPr>
        <w:t>Consolidated Combined Pro Forma Statements of Operations</w:t>
      </w:r>
    </w:p>
    <w:p>
      <w:pPr>
        <w:pStyle w:val="TextBody"/>
        <w:bidi w:val="0"/>
        <w:jc w:val="center"/>
        <w:rPr>
          <w:rFonts w:ascii="Times New Roman" w:hAnsi="Times New Roman"/>
          <w:b/>
          <w:color w:val="000000"/>
          <w:sz w:val="24"/>
        </w:rPr>
      </w:pPr>
      <w:r>
        <w:rPr>
          <w:rFonts w:ascii="Times New Roman" w:hAnsi="Times New Roman"/>
          <w:b/>
          <w:color w:val="000000"/>
          <w:sz w:val="24"/>
        </w:rPr>
        <w:t>(In Thousands)</w:t>
      </w:r>
    </w:p>
    <w:p>
      <w:pPr>
        <w:pStyle w:val="TextBody"/>
        <w:bidi w:val="0"/>
        <w:jc w:val="center"/>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89"/>
        <w:gridCol w:w="146"/>
        <w:gridCol w:w="631"/>
        <w:gridCol w:w="2024"/>
        <w:gridCol w:w="166"/>
        <w:gridCol w:w="146"/>
        <w:gridCol w:w="597"/>
        <w:gridCol w:w="1913"/>
        <w:gridCol w:w="593"/>
      </w:tblGrid>
      <w:tr>
        <w:trPr/>
        <w:tc>
          <w:tcPr>
            <w:tcW w:w="39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9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 Forma Combined</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2026</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14,312</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capitalized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6,327</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8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31,381</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applicable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MARCHEX, INC., ARCHENIA, INC., AND SUBSIDIARIES</w:t>
      </w:r>
    </w:p>
    <w:p>
      <w:pPr>
        <w:pStyle w:val="TextBody"/>
        <w:bidi w:val="0"/>
        <w:jc w:val="center"/>
        <w:rPr>
          <w:rFonts w:ascii="Times New Roman" w:hAnsi="Times New Roman"/>
          <w:b/>
          <w:color w:val="000000"/>
          <w:sz w:val="24"/>
        </w:rPr>
      </w:pPr>
      <w:r>
        <w:rPr>
          <w:rFonts w:ascii="Times New Roman" w:hAnsi="Times New Roman"/>
          <w:b/>
          <w:color w:val="000000"/>
          <w:sz w:val="24"/>
        </w:rPr>
        <w:t>(In Thousands)</w:t>
      </w:r>
    </w:p>
    <w:p>
      <w:pPr>
        <w:pStyle w:val="TextBody"/>
        <w:bidi w:val="0"/>
        <w:jc w:val="center"/>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Reconciliation of Combined Pro Forma Net Loss to Combined Pro Forma Adjusted EBITDA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76"/>
        <w:gridCol w:w="146"/>
        <w:gridCol w:w="727"/>
        <w:gridCol w:w="1970"/>
        <w:gridCol w:w="166"/>
        <w:gridCol w:w="146"/>
        <w:gridCol w:w="641"/>
        <w:gridCol w:w="1919"/>
        <w:gridCol w:w="414"/>
      </w:tblGrid>
      <w:tr>
        <w:trPr/>
        <w:tc>
          <w:tcPr>
            <w:tcW w:w="4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 Forma Combined</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applicable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capitalized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3391</Words>
  <Characters>19488</Characters>
  <CharactersWithSpaces>23194</CharactersWithSpaces>
  <Paragraphs>1501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