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November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Marchex,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000-50658</w:t>
            </w: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rPr>
              <w:t>35-2194038</w:t>
            </w:r>
          </w:p>
        </w:tc>
      </w:tr>
      <w:tr>
        <w:trPr>
          <w:trHeight w:val="148"/>
        </w:trPr>
        <w:tc>
          <w:tcPr>
            <w:tcW w:w="3140" w:type="dxa"/>
            <w:vAlign w:val="bottom"/>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20" w:type="dxa"/>
            <w:vAlign w:val="bottom"/>
          </w:tcPr>
          <w:p>
            <w:pPr>
              <w:spacing w:after="0"/>
              <w:rPr>
                <w:sz w:val="16"/>
                <w:szCs w:val="16"/>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520 Pike Street Suite 2000,</w:t>
            </w:r>
          </w:p>
        </w:tc>
        <w:tc>
          <w:tcPr>
            <w:tcW w:w="37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2"/>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3720" w:type="dxa"/>
            <w:vAlign w:val="bottom"/>
          </w:tcPr>
          <w:p>
            <w:pPr>
              <w:spacing w:after="0"/>
              <w:rPr>
                <w:sz w:val="19"/>
                <w:szCs w:val="19"/>
                <w:color w:val="auto"/>
              </w:rPr>
            </w:pPr>
          </w:p>
        </w:tc>
        <w:tc>
          <w:tcPr>
            <w:tcW w:w="2300" w:type="dxa"/>
            <w:vAlign w:val="bottom"/>
          </w:tcPr>
          <w:p>
            <w:pPr>
              <w:jc w:val="center"/>
              <w:ind w:left="1122"/>
              <w:spacing w:after="0"/>
              <w:rPr>
                <w:sz w:val="20"/>
                <w:szCs w:val="20"/>
                <w:color w:val="auto"/>
              </w:rPr>
            </w:pPr>
            <w:r>
              <w:rPr>
                <w:rFonts w:ascii="Times New Roman" w:cs="Times New Roman" w:eastAsia="Times New Roman" w:hAnsi="Times New Roman"/>
                <w:sz w:val="18"/>
                <w:szCs w:val="18"/>
                <w:b w:val="1"/>
                <w:bCs w:val="1"/>
                <w:color w:val="auto"/>
              </w:rPr>
              <w:t>98101</w:t>
            </w:r>
          </w:p>
        </w:tc>
      </w:tr>
      <w:tr>
        <w:trPr>
          <w:trHeight w:val="178"/>
        </w:trPr>
        <w:tc>
          <w:tcPr>
            <w:tcW w:w="314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300" w:type="dxa"/>
            <w:vAlign w:val="bottom"/>
          </w:tcPr>
          <w:p>
            <w:pPr>
              <w:jc w:val="center"/>
              <w:ind w:left="1122"/>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331-3300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164465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56"/>
        </w:trPr>
        <w:tc>
          <w:tcPr>
            <w:tcW w:w="4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MCHX</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121" w:lineRule="exact"/>
        <w:rPr>
          <w:sz w:val="20"/>
          <w:szCs w:val="20"/>
          <w:color w:val="auto"/>
        </w:rPr>
      </w:pPr>
    </w:p>
    <w:p>
      <w:pPr>
        <w:ind w:right="800" w:firstLine="555"/>
        <w:spacing w:after="0" w:line="282" w:lineRule="auto"/>
        <w:rPr>
          <w:sz w:val="20"/>
          <w:szCs w:val="20"/>
          <w:color w:val="auto"/>
        </w:rPr>
      </w:pPr>
      <w:r>
        <w:rPr>
          <w:rFonts w:ascii="Times New Roman" w:cs="Times New Roman" w:eastAsia="Times New Roman" w:hAnsi="Times New Roman"/>
          <w:sz w:val="18"/>
          <w:szCs w:val="18"/>
          <w:color w:val="auto"/>
        </w:rPr>
        <w:t>On November 11, 2022, the Audit Committee of the Board of Directors of Marchex,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Marchex</w:t>
      </w:r>
      <w:r>
        <w:rPr>
          <w:rFonts w:ascii="Times New Roman" w:cs="Times New Roman" w:eastAsia="Times New Roman" w:hAnsi="Times New Roman"/>
          <w:sz w:val="18"/>
          <w:szCs w:val="18"/>
          <w:color w:val="auto"/>
        </w:rPr>
        <w:t>”) dismissed Moss Adams LLP (“</w:t>
      </w:r>
      <w:r>
        <w:rPr>
          <w:rFonts w:ascii="Times New Roman" w:cs="Times New Roman" w:eastAsia="Times New Roman" w:hAnsi="Times New Roman"/>
          <w:sz w:val="18"/>
          <w:szCs w:val="18"/>
          <w:u w:val="single" w:color="auto"/>
          <w:color w:val="auto"/>
        </w:rPr>
        <w:t>Moss Adams</w:t>
      </w:r>
      <w:r>
        <w:rPr>
          <w:rFonts w:ascii="Times New Roman" w:cs="Times New Roman" w:eastAsia="Times New Roman" w:hAnsi="Times New Roman"/>
          <w:sz w:val="18"/>
          <w:szCs w:val="18"/>
          <w:color w:val="auto"/>
        </w:rPr>
        <w:t>”) as its independent registered public accounting firm.</w:t>
      </w:r>
    </w:p>
    <w:p>
      <w:pPr>
        <w:spacing w:after="0" w:line="54" w:lineRule="exact"/>
        <w:rPr>
          <w:sz w:val="20"/>
          <w:szCs w:val="20"/>
          <w:color w:val="auto"/>
        </w:rPr>
      </w:pPr>
    </w:p>
    <w:p>
      <w:pPr>
        <w:ind w:right="80" w:firstLine="555"/>
        <w:spacing w:after="0" w:line="255" w:lineRule="auto"/>
        <w:rPr>
          <w:sz w:val="20"/>
          <w:szCs w:val="20"/>
          <w:color w:val="auto"/>
        </w:rPr>
      </w:pPr>
      <w:r>
        <w:rPr>
          <w:rFonts w:ascii="Times New Roman" w:cs="Times New Roman" w:eastAsia="Times New Roman" w:hAnsi="Times New Roman"/>
          <w:sz w:val="18"/>
          <w:szCs w:val="18"/>
          <w:color w:val="auto"/>
        </w:rPr>
        <w:t>Moss Adam's reports on the Corporation’s financial statements for the fiscal years ended December 31, 2020 and 2021 did not contain an adverse opinion or a disclaimer of opinion, nor were they qualified or modified as to uncertainty, audit scope, or accounting principles. During our two most recent fiscal years ended December 31, 2020 and 2021, and through November 11, 2022, the date of Moss Adams's dismissal, we had no disagreements (as defined in Item 304 of Regulation S-K) with Moss Adams on any matter of accounting principles or practices, financial statement disclosure, or auditing scope or procedure, which disagreements, if not resolved to Moss Adams's satisfaction, would have caused it to make reference to the subject matter of the disagreements in connection with any opinion to the subject matter of the disagreement. Furthermore, during the period of Moss Adams’s retention, there were no reportable events of the type described in Item 304(a)(1)(v) of Regulation S-K.</w:t>
      </w:r>
    </w:p>
    <w:p>
      <w:pPr>
        <w:spacing w:after="0" w:line="81"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We have provided Moss Adams with a copy of the disclosures made in this current report on Form 8-K (this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prior to the time this Report was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We requested that Moss Adams furnish a letter addressed to the SEC stating whether it agrees with our statements made in this Report. A copy of Moss Adams's letter dated November 15, 2022, is attached as Exhibit 16.1 hereto.</w:t>
      </w:r>
    </w:p>
    <w:p>
      <w:pPr>
        <w:spacing w:after="0" w:line="6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On November 11, 2022, our Audit Committee engaged RSM US LLP (“</w:t>
      </w:r>
      <w:r>
        <w:rPr>
          <w:rFonts w:ascii="Times New Roman" w:cs="Times New Roman" w:eastAsia="Times New Roman" w:hAnsi="Times New Roman"/>
          <w:sz w:val="18"/>
          <w:szCs w:val="18"/>
          <w:u w:val="single" w:color="auto"/>
          <w:color w:val="auto"/>
        </w:rPr>
        <w:t>RSM</w:t>
      </w:r>
      <w:r>
        <w:rPr>
          <w:rFonts w:ascii="Times New Roman" w:cs="Times New Roman" w:eastAsia="Times New Roman" w:hAnsi="Times New Roman"/>
          <w:sz w:val="18"/>
          <w:szCs w:val="18"/>
          <w:color w:val="auto"/>
        </w:rPr>
        <w:t>”), which is an independent registered public accounting firm registered with, and governed by the rules of, the Public Company Accounting Oversight Board, as the Corporation’s independent registered public accounting firm. During the two most recent fiscal years ended December 31, 2020 and 2021, and through November 11, 2022, neither the Corporation nor anyone on the Corporation’s behalf consulted RSM regarding either (i) the application of accounting principles to a specified transaction regarding the Corporation, either completed or proposed, or the type of audit opinion that might be rendered on the Corporation’s financial statements, and neither a written report nor oral advice was provided to the Corporation that was an important factor considered by the Corporation in reaching a decision as to the accounting, auditing or financial reporting issue; or (ii) any matter that was the subject of a disagreement (as that term is defined in Item 304(a)(1)(iv) of Regulation S-K and the related instructions) or a “reportable event” (as that term is defined in Item 304(a)(1)(v) of Regulation S-K).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40" w:type="dxa"/>
            <w:vAlign w:val="bottom"/>
          </w:tcPr>
          <w:p>
            <w:pPr>
              <w:spacing w:after="0"/>
              <w:rPr>
                <w:sz w:val="13"/>
                <w:szCs w:val="13"/>
                <w:color w:val="auto"/>
              </w:rPr>
            </w:pPr>
          </w:p>
        </w:tc>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54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20" w:type="dxa"/>
            <w:vAlign w:val="bottom"/>
          </w:tcPr>
          <w:p>
            <w:pPr>
              <w:jc w:val="right"/>
              <w:ind w:right="539"/>
              <w:spacing w:after="0" w:line="156" w:lineRule="exact"/>
              <w:rPr>
                <w:sz w:val="20"/>
                <w:szCs w:val="20"/>
                <w:color w:val="auto"/>
              </w:rPr>
            </w:pPr>
            <w:r>
              <w:rPr>
                <w:rFonts w:ascii="Times New Roman" w:cs="Times New Roman" w:eastAsia="Times New Roman" w:hAnsi="Times New Roman"/>
                <w:sz w:val="18"/>
                <w:szCs w:val="18"/>
                <w:color w:val="auto"/>
              </w:rPr>
              <w:t>16.1</w:t>
            </w:r>
          </w:p>
        </w:tc>
        <w:tc>
          <w:tcPr>
            <w:tcW w:w="98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EE"/>
              </w:rPr>
              <w:t>Letter dated November 15, 2022 from Moss Adams to the SEC</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73"/>
        </w:trPr>
        <w:tc>
          <w:tcPr>
            <w:tcW w:w="14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Marchex has duly caused this Current Report to be signed on its behalf by the undersigned 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36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MARCHEX, INC.</w:t>
            </w:r>
          </w:p>
        </w:tc>
        <w:tc>
          <w:tcPr>
            <w:tcW w:w="386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36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 MICHAEL A. ARENDS</w:t>
            </w:r>
          </w:p>
        </w:tc>
      </w:tr>
      <w:tr>
        <w:trPr>
          <w:trHeight w:val="201"/>
        </w:trPr>
        <w:tc>
          <w:tcPr>
            <w:tcW w:w="3760" w:type="dxa"/>
            <w:vAlign w:val="bottom"/>
          </w:tcPr>
          <w:p>
            <w:pPr>
              <w:spacing w:after="0"/>
              <w:rPr>
                <w:sz w:val="17"/>
                <w:szCs w:val="17"/>
                <w:color w:val="auto"/>
              </w:rPr>
            </w:pPr>
          </w:p>
        </w:tc>
        <w:tc>
          <w:tcPr>
            <w:tcW w:w="2460" w:type="dxa"/>
            <w:vAlign w:val="bottom"/>
          </w:tcPr>
          <w:p>
            <w:pPr>
              <w:ind w:left="188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116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jc w:val="center"/>
              <w:ind w:right="10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Michael A. Arends</w:t>
            </w:r>
          </w:p>
        </w:tc>
      </w:tr>
      <w:tr>
        <w:trPr>
          <w:trHeight w:val="238"/>
        </w:trPr>
        <w:tc>
          <w:tcPr>
            <w:tcW w:w="3760" w:type="dxa"/>
            <w:vAlign w:val="bottom"/>
          </w:tcPr>
          <w:p>
            <w:pPr>
              <w:spacing w:after="0"/>
              <w:rPr>
                <w:sz w:val="20"/>
                <w:szCs w:val="20"/>
                <w:color w:val="auto"/>
              </w:rPr>
            </w:pPr>
          </w:p>
        </w:tc>
        <w:tc>
          <w:tcPr>
            <w:tcW w:w="36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Co-CEO</w:t>
            </w:r>
          </w:p>
        </w:tc>
      </w:tr>
    </w:tbl>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 for SEC reporting purposes and</w:t>
      </w:r>
    </w:p>
    <w:p>
      <w:pPr>
        <w:spacing w:after="0" w:line="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16.1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read the statements made by Marchex, Inc. included under Item 4.01 of its Current Report on Form 8-K dated November 11, 2022, to be filed with the Securities and Exchange Commission. We agree with the statements concerning our Firm contained therein.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2022-11-15T15:17:48Z</dcterms:created>
  <dcterms:modified xsi:type="dcterms:W3CDTF">2022-11-15T15:17:48Z</dcterms:modified>
</cp:coreProperties>
</file>