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10"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jc w:val="center"/>
        <w:ind w:right="19"/>
        <w:spacing w:after="0"/>
        <w:tabs>
          <w:tab w:leader="none" w:pos="240" w:val="left"/>
        </w:tabs>
        <w:rPr>
          <w:sz w:val="20"/>
          <w:szCs w:val="20"/>
          <w:color w:val="auto"/>
        </w:rPr>
      </w:pPr>
      <w:r>
        <w:rPr>
          <w:rFonts w:ascii="Times New Roman" w:cs="Times New Roman" w:eastAsia="Times New Roman" w:hAnsi="Times New Roman"/>
          <w:sz w:val="18"/>
          <w:szCs w:val="18"/>
          <w:color w:val="auto"/>
        </w:rPr>
        <w:t>Exchange Act of 1934 (Amendment No.</w:t>
        <w:tab/>
        <w:t>)</w:t>
      </w:r>
    </w:p>
    <w:p>
      <w:pPr>
        <w:spacing w:after="0" w:line="126" w:lineRule="exact"/>
        <w:rPr>
          <w:sz w:val="24"/>
          <w:szCs w:val="24"/>
          <w:color w:val="auto"/>
        </w:rPr>
      </w:pPr>
    </w:p>
    <w:tbl>
      <w:tblPr>
        <w:tblLayout w:type="fixed"/>
        <w:tblInd w:w="460" w:type="dxa"/>
        <w:tblCellMar>
          <w:top w:w="0" w:type="dxa"/>
          <w:left w:w="0" w:type="dxa"/>
          <w:bottom w:w="0" w:type="dxa"/>
          <w:right w:w="0" w:type="dxa"/>
        </w:tblCellMar>
      </w:tblPr>
      <w:tr>
        <w:trPr>
          <w:trHeight w:val="28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240" w:type="dxa"/>
            <w:vAlign w:val="bottom"/>
          </w:tcPr>
          <w:p>
            <w:pPr>
              <w:spacing w:after="0"/>
              <w:rPr>
                <w:sz w:val="24"/>
                <w:szCs w:val="24"/>
                <w:color w:val="auto"/>
              </w:rPr>
            </w:pPr>
          </w:p>
        </w:tc>
      </w:tr>
    </w:tbl>
    <w:p>
      <w:pPr>
        <w:spacing w:after="0" w:line="198"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60" w:right="2359" w:hanging="6"/>
        <w:spacing w:after="0" w:line="280" w:lineRule="exact"/>
        <w:tabs>
          <w:tab w:leader="none" w:pos="79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8"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Marchex,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w:t>
      </w:r>
    </w:p>
    <w:p>
      <w:pPr>
        <w:spacing w:after="0" w:line="27"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Marchex,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1448 NW Market St, Suite 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Seattle, Washington 98107</w:t>
      </w:r>
    </w:p>
    <w:p>
      <w:pPr>
        <w:spacing w:after="0" w:line="203" w:lineRule="exact"/>
        <w:rPr>
          <w:sz w:val="20"/>
          <w:szCs w:val="20"/>
          <w:color w:val="auto"/>
        </w:rPr>
      </w:pPr>
    </w:p>
    <w:p>
      <w:pPr>
        <w:ind w:left="460" w:right="2219" w:firstLine="1755"/>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NOTICE OF SPECIAL MEETING OF STOCKHOLDERS </w:t>
      </w:r>
      <w:r>
        <w:rPr>
          <w:rFonts w:ascii="Times New Roman" w:cs="Times New Roman" w:eastAsia="Times New Roman" w:hAnsi="Times New Roman"/>
          <w:sz w:val="18"/>
          <w:szCs w:val="18"/>
          <w:color w:val="auto"/>
        </w:rPr>
        <w:t>Dear Stockholders of Marchex, Inc.:</w:t>
      </w: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Marchex,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you are cordially invited to attend a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to be held at DLA Piper LLP (US), 701 Fifth Avenue, Suite 6900, Seattle, Washington 98104, on July 1, 2026, at 10:00 AM, Pacific Time.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Concerning Solicitation and Voting</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soliciting proxies for the Special Meeting to be held on July 1, 2026. The accompanying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contains information for you to consider when deciding how to vote on the matters brought before the Special Meeting.</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Voting materials, which include the Proxy Statement and the Proxy Card, are being mailed to stockholders on or about June 5, 2026. The executive office of our Company is located at 1448 NW Market St, Suite 500, Seattle, Washington 98107.</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previously announced, on May 8, 2026, the Company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the stockholders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of Archenia, Inc. (“</w:t>
      </w:r>
      <w:r>
        <w:rPr>
          <w:rFonts w:ascii="Times New Roman" w:cs="Times New Roman" w:eastAsia="Times New Roman" w:hAnsi="Times New Roman"/>
          <w:sz w:val="18"/>
          <w:szCs w:val="18"/>
          <w:u w:val="single" w:color="auto"/>
          <w:color w:val="auto"/>
        </w:rPr>
        <w:t>Archenia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entered into a Stock Purchase Agreement (the “</w:t>
      </w:r>
      <w:r>
        <w:rPr>
          <w:rFonts w:ascii="Times New Roman" w:cs="Times New Roman" w:eastAsia="Times New Roman" w:hAnsi="Times New Roman"/>
          <w:sz w:val="18"/>
          <w:szCs w:val="18"/>
          <w:u w:val="single" w:color="auto"/>
          <w:color w:val="auto"/>
        </w:rPr>
        <w:t>Stock Purchase Agreement</w:t>
      </w:r>
      <w:r>
        <w:rPr>
          <w:rFonts w:ascii="Times New Roman" w:cs="Times New Roman" w:eastAsia="Times New Roman" w:hAnsi="Times New Roman"/>
          <w:sz w:val="18"/>
          <w:szCs w:val="18"/>
          <w:color w:val="auto"/>
        </w:rPr>
        <w:t>”), pursuant to which, and upon the terms and subject to the conditions thereof, the Buyer agreed to acquire from the Sellers, and the Sellers agreed to sell to us, 100% of the outstanding shares of capital stock of Archenia (together with all transactions contemplated by the Stock Purchase Agreement and all ancillary documents contemplated thereby,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seeking stockholder approval regarding the purchase of the Business because the Sellers include Russell C. Horowitz, our Chairman, and Michael Arends, our Vice Chairman. We formed a special committee of the Board comprised solely of independent directors of the Company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to negotiate and consider the Transaction. The Special Committee, along with the full Board, in conjunction with the Sellers, believe it is appropriate to seek stockholder approval, and strongly desire the input of the Company’s stockholders, given the extent of the consideration payable by the Company to the Sellers in the purchase of the Business. In addition, Nasdaq Listing Rule 5635(a)(2) requires shareholder approval prior to the issuance of securities in connection with the acquisition of the stock of another company if any director, officer or substantial shareholder of the listed company has a 5% or greater interest in the company or assets to be acquired or in the consideration to be paid, and the potential issuance of common stock could result in an increase in outstanding common stock or voting power of 5% or more. It is possible that stock issued pursuant to the Transaction may exceed 5% of the Company’s outstanding shares, as described below.</w:t>
      </w:r>
    </w:p>
    <w:p>
      <w:pPr>
        <w:spacing w:after="0" w:line="1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consideration for the Business, the Buyer has agreed to pay the Sellers (a) an aggregate of $10 million in convertible promissory notes to be issued to the Sellers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with interest at 6%, payable in three equal tranches on the 12-, 18-, and 24-month anniversaries of the closing date of the Transaction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w:cs="Times New Roman" w:eastAsia="Times New Roman" w:hAnsi="Times New Roman"/>
          <w:sz w:val="18"/>
          <w:szCs w:val="18"/>
          <w:u w:val="single" w:color="auto"/>
          <w:color w:val="auto"/>
        </w:rPr>
        <w:t>Earn-out Consideration</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Messrs. Horowitz and Arends will remain in their current positions with the Company with no change in their roles or duties, and the Company will control all matters, including the leadership, of Archenia following the closing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252095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the Special Meeting, stockholders will be asked to:</w:t>
      </w:r>
    </w:p>
    <w:p>
      <w:pPr>
        <w:spacing w:after="0" w:line="158" w:lineRule="exact"/>
        <w:rPr>
          <w:sz w:val="20"/>
          <w:szCs w:val="20"/>
          <w:color w:val="auto"/>
        </w:rPr>
      </w:pPr>
    </w:p>
    <w:p>
      <w:pPr>
        <w:jc w:val="both"/>
        <w:ind w:left="1320" w:right="47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Transaction, the Stock Purchase Agreement and the other transactions and ancillary documents contemplated by the Stock Purchase Agreement (the “</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Proposal</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proposal to adjourn or postpone the Special Meeting, if necessary or appropriate, for the purpose of soliciting additional votes for the approval of the Stock Purchase Proposal (the “</w:t>
      </w:r>
      <w:r>
        <w:rPr>
          <w:rFonts w:ascii="Times New Roman" w:cs="Times New Roman" w:eastAsia="Times New Roman" w:hAnsi="Times New Roman"/>
          <w:sz w:val="18"/>
          <w:szCs w:val="18"/>
          <w:u w:val="single" w:color="auto"/>
          <w:color w:val="auto"/>
        </w:rPr>
        <w:t>Adjournment Proposal</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that may properly come before the meeting.</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Stockholders are referred to the Proxy Statement for more detailed information with respect to the matters to be considered at the Special Meeting. </w:t>
      </w:r>
      <w:r>
        <w:rPr>
          <w:rFonts w:ascii="Times New Roman" w:cs="Times New Roman" w:eastAsia="Times New Roman" w:hAnsi="Times New Roman"/>
          <w:sz w:val="18"/>
          <w:szCs w:val="18"/>
          <w:b w:val="1"/>
          <w:bCs w:val="1"/>
          <w:color w:val="auto"/>
        </w:rPr>
        <w:t>After careful consideration, the Board, in reliance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 from the Special Committee, has unanimously determined that the Transaction, the Stock Purchase Agreement and the Related Agreements are fair, advisable to and in the best interests of the Company and its stockholders and recommends that you vote:</w:t>
      </w:r>
    </w:p>
    <w:p>
      <w:pPr>
        <w:spacing w:after="0" w:line="112"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Stock Purchase Proposal (Proposal One);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Adjournment Proposal (Proposal Two);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the proxy holder’s best judgment as to any other matters that may properly come before the Special Meeting.</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All stockholders are invited to attend the Special Meeting. The close of business on May 22, 2026 is the record date for determining stockholders entitled to notice of, and to vote at, the Special Meeting. Consequently, only stockholders whose names appear on our books as owning our Class A common stock and Class B common stock at the close of business on May 22, 2026 will be entitled to notice of, and to vote at, the Special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AND PARTICIPATION IN THE COMPANY’S AFFAIRS ARE IMPORTANT.</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If your shares are registered in your name</w:t>
      </w:r>
      <w:r>
        <w:rPr>
          <w:rFonts w:ascii="Times New Roman" w:cs="Times New Roman" w:eastAsia="Times New Roman" w:hAnsi="Times New Roman"/>
          <w:sz w:val="18"/>
          <w:szCs w:val="18"/>
          <w:color w:val="auto"/>
        </w:rPr>
        <w:t>, even if you plan to attend the Special Meeting or any adjournment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postponement of the Special Meeting, we request that you vote by telephone or Internet, or promptly complete, date and sign the enclosed proxy card and return it in the accompanying envelope.</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If your shares are held in the name of a broker, bank or other nominee</w:t>
      </w:r>
      <w:r>
        <w:rPr>
          <w:rFonts w:ascii="Times New Roman" w:cs="Times New Roman" w:eastAsia="Times New Roman" w:hAnsi="Times New Roman"/>
          <w:sz w:val="18"/>
          <w:szCs w:val="18"/>
          <w:color w:val="auto"/>
        </w:rPr>
        <w:t>, and you receive notice of the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through your broker, bank or other nominee, please vote or complete and return the materials in accordance with the instructions provided to you by such broker, bank or other nominee or contact your broker, bank or other nominee directly in order to obtain a proxy issued to you by your nominee holder to participate in the Special Meeting and submit your vote. Failure to do so may result in your shares not being eligible to be voted by proxy at the Special Meeting.</w:t>
      </w:r>
    </w:p>
    <w:p>
      <w:pPr>
        <w:spacing w:after="0" w:line="11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Proxy Statement contains important information concerning the Special Meeting, the Transaction, the Stock Purchase Agreement and the Related Agreements, including information as to how to cast your vote. We encourage you to read the Proxy Statement, the Stock Purchase Agreement and the other annex to the Proxy Statement carefully and in their entirety.</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Stock Purchase Proposal must be approved by both (a) stockholders representing a majority of the voting power of all issued and outstanding Class A common stock and Class B common stock entitled to vote at the Special Meeting (treated as a single class) and (b) stockholders representing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disregarding</w:t>
      </w:r>
      <w:r>
        <w:rPr>
          <w:rFonts w:ascii="Times New Roman" w:cs="Times New Roman" w:eastAsia="Times New Roman" w:hAnsi="Times New Roman"/>
          <w:sz w:val="18"/>
          <w:szCs w:val="18"/>
          <w:color w:val="auto"/>
        </w:rPr>
        <w:t xml:space="preserve"> stock owned by Russell C. Horowitz and Michael Arends.</w:t>
      </w:r>
    </w:p>
    <w:p>
      <w:pPr>
        <w:spacing w:after="0" w:line="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Therefore, if you do not vote by proxy, attend and vote at the Special Meeting or, if you hold your shares in “street name,” properly instruct your broker, bank or other nominee with respect to voting your shares, it will have the same effect as if you voted “AGAINST” the Stock Purchase Proposal.</w:t>
      </w:r>
    </w:p>
    <w:p>
      <w:pPr>
        <w:spacing w:after="0" w:line="11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Please complete, sign, date and promptly return the proxy card in the enclosed envelope, so that your shares will be represented whether or not you attend the Special Meeting. Returning a proxy card will not deprive you of your right to attend the Special Meeting and vote your shares.</w:t>
      </w:r>
    </w:p>
    <w:p>
      <w:pPr>
        <w:spacing w:after="0" w:line="145" w:lineRule="exact"/>
        <w:rPr>
          <w:sz w:val="20"/>
          <w:szCs w:val="20"/>
          <w:color w:val="auto"/>
        </w:rPr>
      </w:pPr>
    </w:p>
    <w:p>
      <w:pPr>
        <w:ind w:left="520" w:right="539"/>
        <w:spacing w:after="0" w:line="273"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SPECIAL MEETING TO BE HELD ON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-323215</wp:posOffset>
            </wp:positionV>
            <wp:extent cx="5143500"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763270"/>
                    </a:xfrm>
                    <a:prstGeom prst="rect">
                      <a:avLst/>
                    </a:prstGeom>
                    <a:noFill/>
                  </pic:spPr>
                </pic:pic>
              </a:graphicData>
            </a:graphic>
          </wp:anchor>
        </w:drawing>
      </w:r>
    </w:p>
    <w:p>
      <w:pPr>
        <w:spacing w:after="0" w:line="132" w:lineRule="exact"/>
        <w:rPr>
          <w:sz w:val="20"/>
          <w:szCs w:val="20"/>
          <w:color w:val="auto"/>
        </w:rPr>
      </w:pPr>
    </w:p>
    <w:p>
      <w:pPr>
        <w:ind w:left="520" w:right="5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THIS NOTICE OF SPECIAL MEETING, PROXY STATEMENT AND PROXY CARD ARE AVAILABLE AT </w:t>
      </w:r>
      <w:r>
        <w:rPr>
          <w:rFonts w:ascii="Times New Roman" w:cs="Times New Roman" w:eastAsia="Times New Roman" w:hAnsi="Times New Roman"/>
          <w:sz w:val="20"/>
          <w:szCs w:val="20"/>
          <w:b w:val="1"/>
          <w:bCs w:val="1"/>
          <w:i w:val="1"/>
          <w:iCs w:val="1"/>
          <w:color w:val="auto"/>
        </w:rPr>
        <w:t>www.investorvote.com/MCHX</w:t>
      </w:r>
      <w:r>
        <w:rPr>
          <w:rFonts w:ascii="Times New Roman" w:cs="Times New Roman" w:eastAsia="Times New Roman" w:hAnsi="Times New Roman"/>
          <w:sz w:val="20"/>
          <w:szCs w:val="20"/>
          <w:b w:val="1"/>
          <w:bCs w:val="1"/>
          <w:color w:val="auto"/>
        </w:rPr>
        <w:t>.</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tc>
      </w:tr>
      <w:tr>
        <w:trPr>
          <w:trHeight w:val="41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 Francis Feeney</w:t>
            </w:r>
          </w:p>
        </w:tc>
      </w:tr>
      <w:tr>
        <w:trPr>
          <w:trHeight w:val="54"/>
        </w:trPr>
        <w:tc>
          <w:tcPr>
            <w:tcW w:w="4340" w:type="dxa"/>
            <w:vAlign w:val="bottom"/>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28"/>
        </w:trPr>
        <w:tc>
          <w:tcPr>
            <w:tcW w:w="43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Francis Feeney</w:t>
            </w:r>
          </w:p>
        </w:tc>
      </w:tr>
      <w:tr>
        <w:trPr>
          <w:trHeight w:val="23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Seattle, Washington</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w:t>
            </w:r>
          </w:p>
        </w:tc>
      </w:tr>
      <w:tr>
        <w:trPr>
          <w:trHeight w:val="234"/>
        </w:trPr>
        <w:tc>
          <w:tcPr>
            <w:tcW w:w="4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32"/>
        </w:trPr>
        <w:tc>
          <w:tcPr>
            <w:tcW w:w="43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statement (this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is being provided to solicit proxies on behalf of the Board of Directors of Marchex, Inc. for use at the Special Meeting of Stockholders to be held on July 1, 2026, at 10:00 AM Pacific Time, and at any adjournment or postponement thereof.</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references in this Proxy Statement to:</w:t>
      </w:r>
    </w:p>
    <w:p>
      <w:pPr>
        <w:spacing w:after="0" w:line="158"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“Marchex,” the “Company,” “Buyer,” “we,” “us,” or “our” refer to Marchex, Inc.;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refers to stockholders of Archenia, Inc.;</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Purchase Agreement” refers to the Stock Purchase Agreement, dated as of May 8, 2026, by and between the Company and Sellers;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refers to the purchase of the Business, as contemplated by the Stock Purchase Agreement, together with the Related Agreements and the other transactions contemplated thereby;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refers to Archenia, Inc., including all of its assets, obligations and operations;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Agreements” refers to the Form of Convertible Promissory Note, which is an exhibit to the Stock Purchase Agreement.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elsewhere in this Proxy Statement shall have the meanings set forth in the Stock Purchase Agreement.</w:t>
      </w:r>
    </w:p>
    <w:p>
      <w:pPr>
        <w:spacing w:after="0" w:line="77" w:lineRule="exact"/>
        <w:rPr>
          <w:sz w:val="20"/>
          <w:szCs w:val="20"/>
          <w:color w:val="auto"/>
        </w:rPr>
      </w:pPr>
    </w:p>
    <w:p>
      <w:pPr>
        <w:jc w:val="both"/>
        <w:ind w:left="460" w:right="479"/>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agency has approved or disapproved of the Transaction, passed upon the merits or fairness of the Transaction, or passed upon the adequacy or accuracy of this Proxy Statement. Any representation to the contrary is a criminal offense</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Proxy Statement is dated and is first being mailed to stockholders on or about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83"/>
        </w:trPr>
        <w:tc>
          <w:tcPr>
            <w:tcW w:w="7400" w:type="dxa"/>
            <w:vAlign w:val="bottom"/>
            <w:gridSpan w:val="3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 TERM SHEET</w:t>
            </w:r>
          </w:p>
        </w:tc>
        <w:tc>
          <w:tcPr>
            <w:tcW w:w="7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3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15</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3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SPECIAL MEETING</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Time, Date and Place</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Our Board</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Record Date and Voting Power</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Quorum</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Required Vote</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Voting by Stockholders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Stockholders of Record</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Abstentions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Broker Non-Votes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Failure to Vote</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Revocability of Proxies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Adjournments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Questions and Additional Information</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PROPOSAL ONE: STOCK PURCHASE PROPOSAL</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Parties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General Description of the Transaction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Consideration for the Transaction</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Transaction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Reasons for the Transaction and Recommendation of Our Board</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Certain Financial Projections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Opinion of the Financial Advisor to the Company</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No Appraisal or Dissenters’ Rights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Regulatory Matters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Anticipated Accounting Treatment</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Company’s Business following the Transaction</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SEC Reporting</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Expected Timing of the Transaction</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STOCK PURCHASE AGREEMENT</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Purchase of Stock</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Consideration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Covenants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Closing Conditions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Indemnification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Stock Purchase Agreement</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220" w:type="dxa"/>
            <w:vAlign w:val="bottom"/>
            <w:gridSpan w:val="37"/>
          </w:tcPr>
          <w:p>
            <w:pPr>
              <w:spacing w:after="0" w:line="202" w:lineRule="exact"/>
              <w:rPr>
                <w:sz w:val="20"/>
                <w:szCs w:val="20"/>
                <w:color w:val="auto"/>
              </w:rPr>
            </w:pPr>
            <w:r>
              <w:rPr>
                <w:rFonts w:ascii="Times New Roman" w:cs="Times New Roman" w:eastAsia="Times New Roman" w:hAnsi="Times New Roman"/>
                <w:sz w:val="18"/>
                <w:szCs w:val="18"/>
                <w:color w:val="0000EE"/>
              </w:rPr>
              <w:t>Transaction Costs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220" w:type="dxa"/>
            <w:vAlign w:val="bottom"/>
            <w:gridSpan w:val="3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2740" w:type="dxa"/>
            <w:vAlign w:val="bottom"/>
            <w:tcBorders>
              <w:bottom w:val="single" w:sz="8" w:color="0000EE"/>
            </w:tcBorders>
            <w:gridSpan w:val="28"/>
          </w:tcPr>
          <w:p>
            <w:pPr>
              <w:spacing w:after="0" w:line="202" w:lineRule="exact"/>
              <w:rPr>
                <w:sz w:val="20"/>
                <w:szCs w:val="20"/>
                <w:color w:val="auto"/>
              </w:rPr>
            </w:pPr>
            <w:r>
              <w:rPr>
                <w:rFonts w:ascii="Times New Roman" w:cs="Times New Roman" w:eastAsia="Times New Roman" w:hAnsi="Times New Roman"/>
                <w:sz w:val="18"/>
                <w:szCs w:val="18"/>
                <w:color w:val="0000EE"/>
                <w:w w:val="99"/>
              </w:rPr>
              <w:t>Form of Convertible Promissory Note</w:t>
            </w:r>
          </w:p>
        </w:tc>
        <w:tc>
          <w:tcPr>
            <w:tcW w:w="4480" w:type="dxa"/>
            <w:vAlign w:val="bottom"/>
            <w:gridSpan w:val="9"/>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4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8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183"/>
        </w:trPr>
        <w:tc>
          <w:tcPr>
            <w:tcW w:w="7400" w:type="dxa"/>
            <w:vAlign w:val="bottom"/>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INTERESTS OF RELATED PARTIES IN THE TRANSACTION</w:t>
            </w:r>
          </w:p>
        </w:tc>
        <w:tc>
          <w:tcPr>
            <w:tcW w:w="7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FINANCIAL INFORMATION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43</w:t>
            </w:r>
          </w:p>
        </w:tc>
      </w:tr>
      <w:tr>
        <w:trPr>
          <w:trHeight w:val="61"/>
        </w:trPr>
        <w:tc>
          <w:tcPr>
            <w:tcW w:w="1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PROPOSAL TWO: ADJOURNMENT PROPOSAL</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61"/>
        </w:trPr>
        <w:tc>
          <w:tcPr>
            <w:tcW w:w="1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STOCKHOLDER PROPOSALS FOR 2026 ANNUAL MEETING OF STOCKHOLDERS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MATTERS</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740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F-1</w:t>
            </w:r>
          </w:p>
        </w:tc>
      </w:tr>
      <w:tr>
        <w:trPr>
          <w:trHeight w:val="61"/>
        </w:trPr>
        <w:tc>
          <w:tcPr>
            <w:tcW w:w="146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03"/>
        </w:trPr>
        <w:tc>
          <w:tcPr>
            <w:tcW w:w="740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ANNEX A STOCK PURCHASE AGREEMENT</w:t>
            </w:r>
          </w:p>
        </w:tc>
        <w:tc>
          <w:tcPr>
            <w:tcW w:w="7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A-1</w:t>
            </w:r>
          </w:p>
        </w:tc>
      </w:tr>
      <w:tr>
        <w:trPr>
          <w:trHeight w:val="61"/>
        </w:trPr>
        <w:tc>
          <w:tcPr>
            <w:tcW w:w="1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r>
      <w:tr>
        <w:trPr>
          <w:trHeight w:val="203"/>
        </w:trPr>
        <w:tc>
          <w:tcPr>
            <w:tcW w:w="4140" w:type="dxa"/>
            <w:vAlign w:val="bottom"/>
            <w:tcBorders>
              <w:bottom w:val="single" w:sz="8" w:color="0000EE"/>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EE"/>
                <w:w w:val="99"/>
              </w:rPr>
              <w:t>ANNEX B OPINION OF OUR FINANCIAL ADVISOR</w:t>
            </w:r>
          </w:p>
        </w:tc>
        <w:tc>
          <w:tcPr>
            <w:tcW w:w="3260" w:type="dxa"/>
            <w:vAlign w:val="bottom"/>
            <w:gridSpan w:val="4"/>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B-1</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Proxy Statement and may not contain all the information that is important to you with respect to the Transaction, the Stock Purchase Agreement, the Related Agreements and the other matters being considered at the Special Meeting of the Company’s stockholders to which this Proxy Statement relates. We urge you to read carefully the remainder of this Proxy Statement, including the attached annexes, and the other documents to which we have referred you. For additional information on the Company, see the section entitled “Where You Can Find More Information” beginning on page 47. We have included page references in this summary to direct you to a more complete description of the topics presented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about the Parties (see page 20)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are a conversation intelligence company that harnesses the power of artificial intelligence (“</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and conversation intelligence to provide actionable insights derived from prescriptive vertical market data analytics. We enable organizations across business functions to optimize customer acquisitions and experiences, transforming conversations into meaningful business outcomes. We provide AI-powered conversation intelligence solutions for market-leading companies in leading business-to-business-to-consumer (“</w:t>
      </w:r>
      <w:r>
        <w:rPr>
          <w:rFonts w:ascii="Times New Roman" w:cs="Times New Roman" w:eastAsia="Times New Roman" w:hAnsi="Times New Roman"/>
          <w:sz w:val="18"/>
          <w:szCs w:val="18"/>
          <w:u w:val="single" w:color="auto"/>
          <w:color w:val="auto"/>
        </w:rPr>
        <w:t>B2B2C</w:t>
      </w:r>
      <w:r>
        <w:rPr>
          <w:rFonts w:ascii="Times New Roman" w:cs="Times New Roman" w:eastAsia="Times New Roman" w:hAnsi="Times New Roman"/>
          <w:sz w:val="18"/>
          <w:szCs w:val="18"/>
          <w:color w:val="auto"/>
        </w:rPr>
        <w:t>”) vertical markets, including many of the world’s most innovative and successful brands.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We were incorporated in 2003 under the laws of the State of Delaware. Our executive office is located at 1448 NW Market St, Suite 500, Seattle, Washington 98107. Our telephone number is (206) 331-3300. Our website is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 The information contained on our website is not incorporated into this Proxy Statement.</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ticker symbol “MCHX.”</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Archenia</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 Archenia was incorporated in 2020 under the laws of the State of Delaware.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Stock Purchase Agreement (see page 38 and Annex 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On May 8, 2026, we entered into the Stock Purchase Agreement with Sellers pursuant to which we have agreed to acquire from the Sellers, and the Sellers agreed to sell to us, 100% of the outstanding shares of capital stock of Archenia, subject to certain conditions, including the approval of the Transaction by stockholders at the Special Meeting representing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disregarding</w:t>
      </w:r>
      <w:r>
        <w:rPr>
          <w:rFonts w:ascii="Times New Roman" w:cs="Times New Roman" w:eastAsia="Times New Roman" w:hAnsi="Times New Roman"/>
          <w:sz w:val="18"/>
          <w:szCs w:val="18"/>
          <w:color w:val="auto"/>
        </w:rPr>
        <w:t xml:space="preserve"> stock owned by Russell C. Horowitz and Michael Arends (the approval in clause (b), the “</w:t>
      </w:r>
      <w:r>
        <w:rPr>
          <w:rFonts w:ascii="Times New Roman" w:cs="Times New Roman" w:eastAsia="Times New Roman" w:hAnsi="Times New Roman"/>
          <w:sz w:val="18"/>
          <w:szCs w:val="18"/>
          <w:u w:val="single" w:color="auto"/>
          <w:color w:val="auto"/>
        </w:rPr>
        <w:t>Majority of the Minority Vote</w:t>
      </w:r>
      <w:r>
        <w:rPr>
          <w:rFonts w:ascii="Times New Roman" w:cs="Times New Roman" w:eastAsia="Times New Roman" w:hAnsi="Times New Roman"/>
          <w:sz w:val="18"/>
          <w:szCs w:val="18"/>
          <w:color w:val="auto"/>
        </w:rPr>
        <w:t>,” and together with the approval in clause (a),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We are seeking the Majority of the Minority Vote because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of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comprised solely of independent directors, in conjunction with the Sellers, determined that doing so was appropriate given that Messrs. Horowitz and Arends are Sellers.</w:t>
      </w:r>
    </w:p>
    <w:p>
      <w:pPr>
        <w:spacing w:after="0" w:line="10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A copy of the Stock Purchase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You are encouraged to read the Stock Purchase Agreement carefully and in its entirety.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Business Following the Transaction (see page 36)</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the Transaction, we plan to integrate the Business into our business and operate the combined business as an AI-driven conversation intelligence and performance-based customer qualification and acquisition company. We expect the combined company to continue to provide the Company’s existing AI-powered conversation intelligence solutions, while adding Archenia’s performance-based customer qualification and acquisition capabilities.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our platform, including our Analytics and Solutions Products, see “</w:t>
      </w:r>
      <w:r>
        <w:rPr>
          <w:rFonts w:ascii="Times New Roman" w:cs="Times New Roman" w:eastAsia="Times New Roman" w:hAnsi="Times New Roman"/>
          <w:sz w:val="18"/>
          <w:szCs w:val="18"/>
          <w:i w:val="1"/>
          <w:iCs w:val="1"/>
          <w:color w:val="auto"/>
        </w:rPr>
        <w:t>Proposal One: Stock Purchase Proposal — The Company’s Business Following the Transaction.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Consideration for the Transaction (see page 20)</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consideration for the purchase of the Business, we have agreed to pay the Sellers (a) an aggregate of $10 million in convertible promissory notes to be issued to the Sellers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with interest at 6%, payable in three equal tranches on the 12-, 18-, and 24-month anniversaries of the closing date of the Transaction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w:cs="Times New Roman" w:eastAsia="Times New Roman" w:hAnsi="Times New Roman"/>
          <w:sz w:val="18"/>
          <w:szCs w:val="18"/>
          <w:u w:val="single" w:color="auto"/>
          <w:color w:val="auto"/>
        </w:rPr>
        <w:t>Earn-out Consideration</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(see page 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Date, Time and Place</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Board is soliciting proxies for the Special Meeting to be held on Wednesday, July 1, 2026, at 10:00 AM Pacific Time at DLA Piper LLP (US), 701 Fifth Avenue, Suite 6900, Seattle, Washington 98104.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our Special Meeting, stockholders will act upon the matters outlined in the notice, including the following:</w:t>
      </w:r>
    </w:p>
    <w:p>
      <w:pPr>
        <w:spacing w:after="0" w:line="158" w:lineRule="exact"/>
        <w:rPr>
          <w:sz w:val="20"/>
          <w:szCs w:val="20"/>
          <w:color w:val="auto"/>
        </w:rPr>
      </w:pPr>
    </w:p>
    <w:p>
      <w:pPr>
        <w:ind w:left="1320" w:right="459" w:hanging="434"/>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Transaction, the Stock Purchase Agreement and the Related Agreements (the “</w:t>
      </w:r>
      <w:r>
        <w:rPr>
          <w:rFonts w:ascii="Times New Roman" w:cs="Times New Roman" w:eastAsia="Times New Roman" w:hAnsi="Times New Roman"/>
          <w:sz w:val="18"/>
          <w:szCs w:val="18"/>
          <w:u w:val="single" w:color="auto"/>
          <w:color w:val="auto"/>
        </w:rPr>
        <w:t>Stock Purchase Proposal</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or postpone the Special Meeting, if necessary or appropriate, for the purpose of soliciting additional votes for the approval of the Stock Purchase Proposal (the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that may properly come before the meeting.</w:t>
      </w:r>
    </w:p>
    <w:p>
      <w:pPr>
        <w:spacing w:after="0" w:line="15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Obtaining Stockholder Approval is a condition for the Transaction to occur. If the Company does not obtain Stockholder Approval, the Transaction will not occur.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Notice and to Vote</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Only holders of record of our Class A common stock and Class B common stock, at the close of business on May 22, 2026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will be entitled to notice of, and to vote at, the Special Meeting. On the Record Date, 4,660,927 shares of Class A common stock and 39,660,339 shares of Class B common stock were issued and outstanding. 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accordingly, throughout this proxy statement we refer generally to our outstanding Class A common stock and Class B common stock together as our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Stockholders may not take action at the Special Meeting unless there is a quorum present at the meeting. The presence at the Special Meeting,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 An abstention occurs when a stockholder withholds such stockholder’s vote by checking the “abstain” box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proxy card or (for beneficial owners) voting information form. Under the rules that govern brokers who are voting with respect to shares held in street name, brokers have the discretion to vote such shares on routine matters, including the ratification of appointment of independent registered accounting firm.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Distinction between Holding Shares as a Stockholder of Record and as a Beneficial Owner</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Some of our stockholders hold their shares through a broker, trustee, or other nominee rather than directly in their own name. As summarized below, there are some distinctions between shares held of record and those shares owned beneficially.</w:t>
      </w:r>
    </w:p>
    <w:p>
      <w:pPr>
        <w:spacing w:after="0" w:line="10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Stockholder of Record. </w:t>
      </w:r>
      <w:r>
        <w:rPr>
          <w:rFonts w:ascii="Times New Roman" w:cs="Times New Roman" w:eastAsia="Times New Roman" w:hAnsi="Times New Roman"/>
          <w:sz w:val="18"/>
          <w:szCs w:val="18"/>
          <w:color w:val="auto"/>
        </w:rPr>
        <w:t>If your shares are registered directly in your name with our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Computershare Trust Company, N.A. (“</w:t>
      </w:r>
      <w:r>
        <w:rPr>
          <w:rFonts w:ascii="Times New Roman" w:cs="Times New Roman" w:eastAsia="Times New Roman" w:hAnsi="Times New Roman"/>
          <w:sz w:val="18"/>
          <w:szCs w:val="18"/>
          <w:u w:val="single" w:color="auto"/>
          <w:color w:val="auto"/>
        </w:rPr>
        <w:t>Computershare</w:t>
      </w:r>
      <w:r>
        <w:rPr>
          <w:rFonts w:ascii="Times New Roman" w:cs="Times New Roman" w:eastAsia="Times New Roman" w:hAnsi="Times New Roman"/>
          <w:sz w:val="18"/>
          <w:szCs w:val="18"/>
          <w:color w:val="auto"/>
        </w:rPr>
        <w:t>”), then you are considered, with respect to those shares, the “stockholder of record.” As the stockholder of record, you have the right to grant your voting proxy directly to us or to a third party.</w:t>
      </w:r>
    </w:p>
    <w:p>
      <w:pPr>
        <w:spacing w:after="0" w:line="9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Beneficial Owner. </w:t>
      </w:r>
      <w:r>
        <w:rPr>
          <w:rFonts w:ascii="Times New Roman" w:cs="Times New Roman" w:eastAsia="Times New Roman" w:hAnsi="Times New Roman"/>
          <w:sz w:val="18"/>
          <w:szCs w:val="18"/>
          <w:color w:val="auto"/>
        </w:rPr>
        <w:t>If your shares are held in a brokerage account, by a trustee or by another nominee,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considered the “beneficial owner” of those shares. As the beneficial owner of those shares, you have the right to direct your broker, trustee, or nominee how to vote and you also are invited to attend the Special Meeting. However, because a beneficial owner is not the stockholder of record, you may not vote these shares while participating in the Special Meeting unless you obtain a “legal proxy” from the broker, trustee or nominee that holds your shares, giving you the right to vote the shares while participating in Special Meeting.</w:t>
      </w:r>
    </w:p>
    <w:p>
      <w:pPr>
        <w:spacing w:after="0" w:line="11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not a stockholder of record, please understand that we do not know that you are a stockholder, or how many shares you own.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For Proposal One, 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disregarding</w:t>
      </w:r>
      <w:r>
        <w:rPr>
          <w:rFonts w:ascii="Times New Roman" w:cs="Times New Roman" w:eastAsia="Times New Roman" w:hAnsi="Times New Roman"/>
          <w:sz w:val="18"/>
          <w:szCs w:val="18"/>
          <w:color w:val="auto"/>
        </w:rPr>
        <w:t xml:space="preserve"> stock owned by Russell C. Horowitz and Michael Arends (the “</w:t>
      </w:r>
      <w:r>
        <w:rPr>
          <w:rFonts w:ascii="Times New Roman" w:cs="Times New Roman" w:eastAsia="Times New Roman" w:hAnsi="Times New Roman"/>
          <w:sz w:val="18"/>
          <w:szCs w:val="18"/>
          <w:u w:val="single" w:color="auto"/>
          <w:color w:val="auto"/>
        </w:rPr>
        <w:t>Majority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Minority Vote</w:t>
      </w:r>
      <w:r>
        <w:rPr>
          <w:rFonts w:ascii="Times New Roman" w:cs="Times New Roman" w:eastAsia="Times New Roman" w:hAnsi="Times New Roman"/>
          <w:sz w:val="18"/>
          <w:szCs w:val="18"/>
          <w:color w:val="auto"/>
        </w:rPr>
        <w:t>”) as of the close of business on the Record Date present or represented by proxy.</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Proposal Two, regardless of whether a quorum is present at the Special Meeting, the affirmative vote of a majority of the voting power cast by stockholders present or represented by proxy at the Special Meeting constitutes approval.</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Abstentions and broker non-votes are counted to determine whether a quorum is present at the Special Meeting but are not counted as a vote in favor of or against a particular matter.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vote is very important to us and we hope that you will attend the Special Meeting. However, whether or not you plan to attend the Special Meeting, please vote by proxy in accordance with the instructions on your proxy card or voting instruction card (from your broker, bank or other nominee). Below are descriptions of how you may vote your shares depending on whether or not you are a stockholder of record or a beneficial owner.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144" w:lineRule="exact"/>
        <w:rPr>
          <w:sz w:val="20"/>
          <w:szCs w:val="20"/>
          <w:color w:val="auto"/>
        </w:rPr>
      </w:pPr>
    </w:p>
    <w:p>
      <w:pPr>
        <w:jc w:val="both"/>
        <w:ind w:left="1320" w:right="459" w:hanging="434"/>
        <w:spacing w:after="0" w:line="254" w:lineRule="auto"/>
        <w:tabs>
          <w:tab w:leader="none" w:pos="131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By Proxy via the Internet. </w:t>
      </w:r>
      <w:r>
        <w:rPr>
          <w:rFonts w:ascii="Times New Roman" w:cs="Times New Roman" w:eastAsia="Times New Roman" w:hAnsi="Times New Roman"/>
          <w:sz w:val="18"/>
          <w:szCs w:val="18"/>
          <w:color w:val="auto"/>
        </w:rPr>
        <w:t>Registered stockholders can vote your shares via the Internet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www.investorvote.com/MCHX</w:t>
      </w:r>
      <w:r>
        <w:rPr>
          <w:rFonts w:ascii="Times New Roman" w:cs="Times New Roman" w:eastAsia="Times New Roman" w:hAnsi="Times New Roman"/>
          <w:sz w:val="18"/>
          <w:szCs w:val="18"/>
          <w:color w:val="auto"/>
        </w:rPr>
        <w:t>. Please have your proxy card in hand when going online and follow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online instructions. Stockholders that vote by Internet must bear all costs associated with electronic access, including Internet access fees. Internet voting by proxy for registered stockholders is available up until 11:59 PM, Pacific Time, on June 30, 2026. The Internet proxy voting procedures are designed to authenticate your identity and to allow you to vote your shares and confirm your voting instructions have been properly recorded. If you vote by proxy via the Internet, you do not need to complete and mail a proxy card. We encourage you to vote your shares by proxy via the Internet even if you plan to attend the Special Meeting.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1320" w:right="459" w:hanging="434"/>
        <w:spacing w:after="0" w:line="259" w:lineRule="auto"/>
        <w:tabs>
          <w:tab w:leader="none" w:pos="13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Registered stockholders also may vote by telephone calling 1-800-652-8683 (toll-free) and using any touch-tone telephone to transmit their votes up to 11:59 PM, Pacific Time, on June 30, 2026. Please have your proxy card in hand when you call and then follow the instructions. The control number necessary to vote your shares by telephone can be found on the enclosed proxy card. If you vote by telephone, you do not need to complete and mail your proxy card.</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320" w:right="45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Registered stockholders may vote your shares by signing, dating and mailing the enclosed proxy card using the enclosed postage pre-paid envelope. We strongly encourage you, however, to consider using the Internet or telephone voting options described above because these voting methods are faster and less costly than voting by mailing your signed and dated proxy card. If you vote via the Internet or telephone, you do not need to mail your proxy card.</w:t>
      </w:r>
    </w:p>
    <w:p>
      <w:pPr>
        <w:spacing w:after="0" w:line="119"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Forward the email from your broker, or attach an image of your legal proxy, to </w:t>
      </w:r>
      <w:r>
        <w:rPr>
          <w:rFonts w:ascii="Times New Roman" w:cs="Times New Roman" w:eastAsia="Times New Roman" w:hAnsi="Times New Roman"/>
          <w:sz w:val="18"/>
          <w:szCs w:val="18"/>
          <w:b w:val="1"/>
          <w:bCs w:val="1"/>
          <w:color w:val="auto"/>
        </w:rPr>
        <w:t>legalproxy@computershare.com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Beneficial Owners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of record in the name of a bank, broker or other nominee you should follow the separate instructions that the nominee provides to you. Although most banks and brokers now offer Internet and telephone voting, availability and specific processes will depend on their voting arrangements.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If your shares are held of record in the name of your bank, broker or other nominee and you would like to submit a vote during your participation in the Special Meeting, you must register in advance to attend the Special Meeting. You also must submit proof of your proxy power (legal proxy) from your bank, broker or other nominee reflecting your Marchex holdings along with your name and email address to Computershare by email at the email address </w:t>
      </w:r>
      <w:r>
        <w:rPr>
          <w:rFonts w:ascii="Times New Roman" w:cs="Times New Roman" w:eastAsia="Times New Roman" w:hAnsi="Times New Roman"/>
          <w:sz w:val="18"/>
          <w:szCs w:val="18"/>
          <w:b w:val="1"/>
          <w:bCs w:val="1"/>
          <w:color w:val="auto"/>
        </w:rPr>
        <w:t>legalproxy@computershare.com</w:t>
      </w:r>
      <w:r>
        <w:rPr>
          <w:rFonts w:ascii="Times New Roman" w:cs="Times New Roman" w:eastAsia="Times New Roman" w:hAnsi="Times New Roman"/>
          <w:sz w:val="18"/>
          <w:szCs w:val="18"/>
          <w:color w:val="auto"/>
        </w:rPr>
        <w:t>. Requests for registration must be labeled “Legal Proxy” and be received no later than 11:59 PM, Pacific Time, on June 30, 2026. You will receive a confirmation email from Computershare of your registration.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Voting Instructions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provide specific voting instructions, your shares will be voted as instructed.</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hold shares as the stockholder of record and provide a proxy without giving specific voting instructions, then your shares will be voted in accordance with the recommendation of the Board (in reliance on the recommendation from the Special Committee) set forth below.</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may have granted to your broker, trustee, or other nominee discretionary voting authority over your account. Your broker, trustee, or other nominee may be able to vote your shares depending on the terms of the agreement you have with your broker, trustee, or other nominee.</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persons identified as having the authority to vote the proxies granted by the proxy card will have discretionary authority to vote, in their discretion, to the extent permitted by applicable law, on such other business as may properly come before the Special Meeting and any postponement or adjournment. The Board is not aware of any other matters that are likely to be brought before the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Solicitation of Proxies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pay the cost of soliciting proxies for the Special Meeting, and we have engaged Georgeson LLC, a proxy solicitation firm, to assist in the solicitation of proxies for the Special Meeting and will pay Georgeson LLC an estimated fee of $15,000, plus reimbursement of reasonable out of pocket expenses. We solicit by mail, telephone, personal contact and electronic means and arrangements are made with brokerage houses and other custodians, nominees and fiduciaries to send notices, and if requested, other proxy materials, to beneficial owners. Upon request, we will reimburse them for their reasonable expenses. In addition, our directors, officers and employees may solicit proxies, either personally or by telephone, facsimile or written or electronic mail. Stockholders are requested to return their proxies without delay.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Our Board (see page 16)</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careful consideration, our Board (in reliance on the recommendation from the Special Committee)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unanimously recommends that you vote:</w:t>
      </w:r>
    </w:p>
    <w:p>
      <w:pPr>
        <w:spacing w:after="0" w:line="135"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One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Purchase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Two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reaching its decision to approve the Transaction, the Stock Purchase Agreement and the Related Agreements and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paid, and the financial analysis and fairness opinion of the financial advisor retained by the Special Committee summarized under “</w:t>
      </w:r>
      <w:r>
        <w:rPr>
          <w:rFonts w:ascii="Times New Roman" w:cs="Times New Roman" w:eastAsia="Times New Roman" w:hAnsi="Times New Roman"/>
          <w:sz w:val="18"/>
          <w:szCs w:val="18"/>
          <w:i w:val="1"/>
          <w:iCs w:val="1"/>
          <w:color w:val="auto"/>
        </w:rPr>
        <w:t>Opinion of the Financial Advisor to the Company</w:t>
      </w:r>
      <w:r>
        <w:rPr>
          <w:rFonts w:ascii="Times New Roman" w:cs="Times New Roman" w:eastAsia="Times New Roman" w:hAnsi="Times New Roman"/>
          <w:sz w:val="18"/>
          <w:szCs w:val="18"/>
          <w:color w:val="auto"/>
        </w:rPr>
        <w:t>.” For more information on these factors, other factors considered, and the Special Committee process, see “</w:t>
      </w:r>
      <w:r>
        <w:rPr>
          <w:rFonts w:ascii="Times New Roman" w:cs="Times New Roman" w:eastAsia="Times New Roman" w:hAnsi="Times New Roman"/>
          <w:sz w:val="18"/>
          <w:szCs w:val="18"/>
          <w:i w:val="1"/>
          <w:iCs w:val="1"/>
          <w:color w:val="auto"/>
        </w:rPr>
        <w:t>Proposal One: Stock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Reasons for the Transaction and Recommendation of Our Board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Company (see page 27)</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8, 2026, Craig-Hallum Capital Group, LLC (“</w:t>
      </w:r>
      <w:r>
        <w:rPr>
          <w:rFonts w:ascii="Times New Roman" w:cs="Times New Roman" w:eastAsia="Times New Roman" w:hAnsi="Times New Roman"/>
          <w:sz w:val="18"/>
          <w:szCs w:val="18"/>
          <w:u w:val="single" w:color="auto"/>
          <w:color w:val="auto"/>
        </w:rPr>
        <w:t>Craig-Hallum</w:t>
      </w:r>
      <w:r>
        <w:rPr>
          <w:rFonts w:ascii="Times New Roman" w:cs="Times New Roman" w:eastAsia="Times New Roman" w:hAnsi="Times New Roman"/>
          <w:sz w:val="18"/>
          <w:szCs w:val="18"/>
          <w:color w:val="auto"/>
        </w:rPr>
        <w:t>”) rendered its oral opinion to the Special Committee (which was subsequently confirmed in writing by delivery of Craig-Hallum’s written opinion addressed to the Board dated the same date) as to, as of May 8, 2026, the fairness, from a financial point of view, to the stockholders of the Company of the consideration to be paid by the Company in the Transaction pursuant to the Stock Purchase Agreement in exchange for the Business.</w:t>
      </w:r>
    </w:p>
    <w:p>
      <w:pPr>
        <w:spacing w:after="0" w:line="17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Craig-Hallum’s opinion was directed to the Special Committee and the Board (in its capacity as such), and only addressed the fairness, from a financial point of view, to the stockholders of the Company of the consideration to be paid by the Company in exchange for the Business and did not address any other aspect or implication of the Transaction, any Related Agreement or any other agreement, arrangement or understanding entered into in connection therewith or otherwise. The summary of Craig-Hallum’s opinion in this Proxy Statement is qualified in its entirety by reference to the full text of its written opinion, which is included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b w:val="1"/>
          <w:bCs w:val="1"/>
          <w:color w:val="auto"/>
        </w:rPr>
        <w:t xml:space="preserve"> to this Proxy Statement and describes the procedures followed, assumptions made, qualifications and limitations on the review undertaken and other matters considered by Craig-Hallum in connection with the preparation of its opinion. However, neither Craig-Hallum’s written opinion nor the summary of its opinion and the related analyses set forth in this Proxy Statement is intended to be, and they do not constitute, a recommendation to the Board, any security holder of the Company or any other person as to how such person should vote or act with respect to any matter relating to the Transaction or otherwise.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Expected Timing of the Transaction (see page 37)</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expect to complete the Transaction promptly following the Special Meeting if we obtain Stockholder Approval and the various other conditions to closing are satisfied or waived. However, the Transaction may not be completed as currently anticipated. Certain factors, including factors outside of our control and the control of Sellers, could result in the Transaction being delayed or not occurring at all.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Covenants (see page 39)</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Stock Purchase Agreement, the Company has agreed to certain covenants with respect to, among other things, the following:</w:t>
      </w:r>
    </w:p>
    <w:p>
      <w:pPr>
        <w:spacing w:after="0" w:line="94"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Sellers’ solicitation of alternative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public announcements;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obtain required third-party consents;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this Proxy Statement and solicitation of stockholder approval;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post-closing registration rights with respect to shares issuable upon conversion of the Notes and any shares issued as Earn-out Consideration.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 Conditions (see page 40)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completion of the Transaction is dependent upon the satisfaction of a number of conditions, including:</w:t>
      </w:r>
    </w:p>
    <w:p>
      <w:pPr>
        <w:spacing w:after="0" w:line="158" w:lineRule="exact"/>
        <w:rPr>
          <w:sz w:val="20"/>
          <w:szCs w:val="20"/>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performed in all material respects all covenants and agreements required to be performed by each of them at or prior to the closing;</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Stockholder Approval, including the Majority of the Minority Approval;</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written consents (or waivers with respect thereto) as described in Schedule 3.04 of the Disclosure Schedule of the Stock Purchase Agreement;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various Related Agreements;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occurrence of any Material Adverse Effect, which generally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(see page 40)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Under certain circumstances specified in the Stock Purchase Agreement, the Sellers have agreed to indemnify the Company and its Affiliates (including Archenia) and their respective Representatives for certain losses arising out of breaches of the Sellers’ representations, warranties, covenants, agreements or obligations, subject to the limitations set forth in the Stock Purchase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Stock Purchase Agreement (see page 40)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Purchase Agreement may be terminated:</w:t>
      </w:r>
    </w:p>
    <w:p>
      <w:pPr>
        <w:spacing w:after="0" w:line="158"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by mutual consent of the Sellers and Buyer;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Seller Representative or Buyer if the Transaction has not been consummated on or before September 30, 2026, subject to the limitations set forth in the Stock Purchase Agreement;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Buyer to Seller or Sellers to Buyer, in the event of such other party’s material failure to perform or uncured material breach of the Stock Purchase Agreement.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event of termination, the Stock Purchase Agreement will become void and there shall be no liability on the party of any party thereto (with certain limited exceptions).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Appraisal or Dissenters’ Rights (see page 33)</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 appraisal rights or dissenters’ rights are available to our stockholders under Delaware law or our certificate of incorporation or bylaws, each as amended to date, in connection with the Transaction.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Factors (see page 12)</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evaluating the Stock Purchase Proposal, in addition to the other information provided elsewhere in this Proxy Statement and the annexes hereto, you should carefully consider the risk factors relating to the Transaction and our future operations, as well as the risk factors contained in the other filings the Company makes from time to time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commonly asked questions as they pertain to the Special Meeting, the Stock Purchase Agreement and the Transaction. These questions and answers may not address all questions that may be important to you as a stockholder. Please refer to the “Summary Term Sheet” and the more detailed information contained elsewhere in this Proxy Statement and the annexes to this Proxy Statement, each of which you should read carefully.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A PROXY?</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bank or other nominee in order to vote your shares during your participation in the Special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A PROXY STATEMENT?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proxy statement is a document that regulations of the SEC require that we give to you when we ask you to sign a proxy card to vote your stock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WHO IS SOLICITING YOUR VOTE?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is soliciting your vote for the Special Meeting being held on July 1, 2026, at 10:00 AM Pacific Time.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WILL YOU BE VOTING 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At the Special Meeting, the Company’s stockholders will consider: (1) approval of the Transaction, the Stock Purchase Agreement and the Related Agreements; (2) approval of a proposal to adjourn or postpone the Special Meeting, if necessary or appropriate, for the purposes of soliciting additional votes for the approval of the Stock Purchase Proposal; and (3) any other matters which may properly come before the meeting.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THE STOCK PURCHASE PROPOSAL (PROPOSAL ONE)?</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Stock Purchase Proposal is a proposal to purchase the Business from the Sellers pursuant to the terms, and subject to certain conditions, of the Stock Purchase Agreement. Following the closing of the Transaction, the Company will continue to operate as an AI-powered conversation intelligence company, enhanced by Archenia’s performance-based customer qualification and acquisition capabilities.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WILL OUR CLASS B COMMON STOCK STILL BE PUBLICLY TRADED IF THE TRANSACTION IS COMPLETED?</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Yes. Our Class B common stock is currently traded on Nasdaq under the ticker symbol “MCHX,” which we do not expect to change following the completion of the Transaction. It is not possible to predict the trading price of our Class B common stock following the closing of the Transaction. Accordingly, you may find it more difficult to dispose of your shares of Class B common stock, and you may not be able to sell some or all of your shares of Class B common stock when you desire.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 further discussion of some of these risks.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DID THE SPECIAL COMMITTEE AND THE BOARD APPROVE THE TRANSACTION, STOCK PURCHASE AGREEMENT AND THE RELATED AGREEMENTS?</w:t>
      </w:r>
    </w:p>
    <w:p>
      <w:pPr>
        <w:spacing w:after="0" w:line="9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Yes. The Special Committee and the full Board (a) determined that the Transaction, the Stock Purchase Agreement, the Related Agreements and the other transactions contemplated thereby are fair, advisable to and in the best interests of the Company and its stockholders, and (b) approved the execution and delivery of the Stock Purchase Agreement, the Related Agreements and such other agreements necessary or appropriate to consummate the Transaction. The full Board has recommended that the Company’s stockholders approve the Transaction, the Stock Purchase Agreement and the Related Agreements.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WHY DID THE SPECIAL COMMITTEE AND THE BOARD APPROVE THE TRANSACTION?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reaching its decision to approve the Transaction, the Stock Purchase Agreement and the Related Agreements and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paid, and the financial analysis and fairness opinion of the financial advisor retained by the Special Committee summarized under “</w:t>
      </w:r>
      <w:r>
        <w:rPr>
          <w:rFonts w:ascii="Times New Roman" w:cs="Times New Roman" w:eastAsia="Times New Roman" w:hAnsi="Times New Roman"/>
          <w:sz w:val="18"/>
          <w:szCs w:val="18"/>
          <w:i w:val="1"/>
          <w:iCs w:val="1"/>
          <w:color w:val="auto"/>
        </w:rPr>
        <w:t>Opinion of the Financial Advisor to the Company</w:t>
      </w:r>
      <w:r>
        <w:rPr>
          <w:rFonts w:ascii="Times New Roman" w:cs="Times New Roman" w:eastAsia="Times New Roman" w:hAnsi="Times New Roman"/>
          <w:sz w:val="18"/>
          <w:szCs w:val="18"/>
          <w:color w:val="auto"/>
        </w:rPr>
        <w:t>.” For more information on these factors, other factors considered, and the Special Committee process, see “</w:t>
      </w:r>
      <w:r>
        <w:rPr>
          <w:rFonts w:ascii="Times New Roman" w:cs="Times New Roman" w:eastAsia="Times New Roman" w:hAnsi="Times New Roman"/>
          <w:sz w:val="18"/>
          <w:szCs w:val="18"/>
          <w:i w:val="1"/>
          <w:iCs w:val="1"/>
          <w:color w:val="auto"/>
        </w:rPr>
        <w:t>Proposal One: Stock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Reasons for the Transaction and Recommendation of Our Board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WHAT HAPPENS IF THE STOCK PURCHASE PROPOSAL (PROPOSAL ONE) IS NOT APPROVED?</w:t>
      </w:r>
    </w:p>
    <w:p>
      <w:pPr>
        <w:spacing w:after="0" w:line="9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stockholders do not approve the Stock Purchase Proposal, the Transaction will not occur. Instead, the Sellers will continue to own and operate Archenia, and the Company will not acquire the Business.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IF THE STOCK PURCHASE PROPOSAL (PROPOSAL ONE) IS APPROVED, WHEN WILL THE TRANSACTION CLOSE?</w:t>
      </w:r>
    </w:p>
    <w:p>
      <w:pPr>
        <w:spacing w:after="0" w:line="9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anticipate that the Transaction will close promptly after the Special Meeting if the Stock Purchase Proposal is approved, subject to the satisfaction or waiver of the closing conditions discussed elsewhere in this Proxy Statement.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THE ADJOURNMENT PROPOSAL (PROPOSAL TWO)?</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Adjournment Proposal is a proposal to adjourn or postpone the Special Meeting, if necessary or appropriate, to allow us to solicit additional votes for the approval of the Stock Purchase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ARE THE BOARD’S RECOMMENDATIONS ON HOW I SHOULD VOTE MY SHARES?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Board (in reliance on the recommendation from the Special Committee) unanimously recommends that you vote your shares as follows:</w:t>
      </w:r>
    </w:p>
    <w:p>
      <w:pPr>
        <w:spacing w:after="0" w:line="90"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One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Purchase Proposal;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Two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THE RECORD DATE AND WHAT DOES IT MEAN?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Record Date to determine the stockholders entitled to notice of and to vote at the Special Meeting is the close of business on May 22, 2026. The Record Date was established by the Board as required by Delaware law. On the Record Date, 4,660,927 shares of Class A common stock and 39,660,339 shares of Class B common stock were issued and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HOW MANY VOTES DO STOCKHOLDERS HAVE?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There is no cumulative voting.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HOW MANY VOTES MUST BE PRESENT TO HOLD THE MEETING?</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presence at the Special Meeting,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HOW MAY I VOTE MY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can vote either during the Special Meeting or by proxy without attending the Special Meeting. We urge you to vote by proxy even if you plan to attend the Special Meeting so that we will know as soon as possible that enough votes will be present for us to hold the meeting.</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registered stockholder of record may vote by granting a proxy. If you hold shares in street name, you may submit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IF I DO NOT SPECIFY HOW I WANT MY SHARES VOTED?</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are a record holder who returns a completed proxy card that does not specify how you want to vote your shares on one or more proposals, the designated proxies will vote your shares for each proposal as to which you provide no voting instructions, and such shares will be voted in the following manner:</w:t>
      </w:r>
    </w:p>
    <w:p>
      <w:pPr>
        <w:spacing w:after="0" w:line="104"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One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Purchase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Two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“street name” holder and do not provide voting instructions on one or more proposals, your bank, broker or other nominee may be able to vote those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HOW MANY VOTES ARE NEEDED TO APPROVE EACH PROPOSAL?</w:t>
      </w:r>
    </w:p>
    <w:p>
      <w:pPr>
        <w:spacing w:after="0" w:line="162" w:lineRule="exact"/>
        <w:rPr>
          <w:sz w:val="20"/>
          <w:szCs w:val="20"/>
          <w:color w:val="auto"/>
        </w:rPr>
      </w:pPr>
    </w:p>
    <w:p>
      <w:pPr>
        <w:jc w:val="both"/>
        <w:ind w:left="1320" w:right="459" w:hanging="434"/>
        <w:spacing w:after="0" w:line="253"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Proposal One, 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disregarding</w:t>
      </w:r>
      <w:r>
        <w:rPr>
          <w:rFonts w:ascii="Times New Roman" w:cs="Times New Roman" w:eastAsia="Times New Roman" w:hAnsi="Times New Roman"/>
          <w:sz w:val="18"/>
          <w:szCs w:val="18"/>
          <w:color w:val="auto"/>
        </w:rPr>
        <w:t xml:space="preserve"> stock owned by Russell C. Horowitz and Michael Arends (the “</w:t>
      </w:r>
      <w:r>
        <w:rPr>
          <w:rFonts w:ascii="Times New Roman" w:cs="Times New Roman" w:eastAsia="Times New Roman" w:hAnsi="Times New Roman"/>
          <w:sz w:val="18"/>
          <w:szCs w:val="18"/>
          <w:u w:val="single" w:color="auto"/>
          <w:color w:val="auto"/>
        </w:rPr>
        <w:t>Majority of the Minority Vote</w:t>
      </w:r>
      <w:r>
        <w:rPr>
          <w:rFonts w:ascii="Times New Roman" w:cs="Times New Roman" w:eastAsia="Times New Roman" w:hAnsi="Times New Roman"/>
          <w:sz w:val="18"/>
          <w:szCs w:val="18"/>
          <w:color w:val="auto"/>
        </w:rPr>
        <w:t>”), as of the close of business on the Record Date present or represented by proxy. Stockholders may vote “for”, “against” or “abstain” for the Stock Purchase Proposal. If you “abstain” from voting on the Stock Purchase Proposal, your abstention will have the same effect as a vote “against” the Stock Purchase Proposal.</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Two, regardless of whether a quorum is present at the Special Meeting, the affirmative vote of a majority of the voting power cast by stockholders present or represented by proxy at the Special Meeting constitutes approval.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THE QUORUM REQUIREMENT?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 majority of the voting power of the outstanding shares of Common Stock entitled to vote as of the close of business on the Record Date is present at the Special Meeting or represented by proxy. On the Record Date, 4,660,927 shares of Class A common stock and 39,660,339 shares of Class B common stock were issued and outstanding. Thus, 78,091,758 votes must be present or represented by proxy at the Special Meeting to have a quorum.</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Abstentions and broker non-votes will be counted towards the quorum requirement. If there is no quorum, the holders of a majority of shares of Common Stock present or represented by proxy may adjourn the Special Meeting to another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CAN I CHANGE MY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you are the record holder of your shares, you may revoke a previously granted proxy at any time before the Special Meeting by delivering to the Secretary of Marchex, Inc. a written notice of revocation or a duly executed proxy bearing a later date. Any stockholder owning shares in street name may change or revoke previously given voting instructions by contacting the bank or brokerage firm holding the shares or by obtaining a legal proxy from such bank or brokerage firm and voting in person at the Special Meeting. Your presence at the Special Meeting does not revoke your proxy. Your last vote, prior to or at the Special Meeting, is the vote that will be counted.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IF I VOTE “ABSTAIN”?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vote to “abstain” on any matter indicates that your shares will not be voted for such matter and will have the effect of a vote against the proposal. Abstentions are considered as being present for quorum purposes.</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IF I HOLD SHARES THROUGH A BROKER OR OTHER NOMINEE, CAN MY SHARES BE VOTED IF I DO NOT INSTRUCT MY BROKER OR OTHER NOMINEE OR MAKE ARRANGEMENTS TO ATTEND THE SPECIAL MEETING?</w:t>
      </w:r>
    </w:p>
    <w:p>
      <w:pPr>
        <w:spacing w:after="0" w:line="107"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No. If you hold your shares through a broker or other nominee, you must instruct it how to vote those shares at the Special Meeting, or else make arrangements to with your broker or other nominee to attend the Special Meeting. A “broker non-vote” occur when a nominee holding shares for a beneficial owner does not vote on a particular proposal because the nominee does not have discretionary voting power for that particular item and has not received instructions from the beneficial owner. Broker non-votes count for quorum purposes but not for voting purposes. If you have neither instructed your broker or other nominee, nor made arrangements with your broker or other nominee to participate in the Special Meeting and vote your shares, your shares will not be voted.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HAPPENS IF THE MEETING IS POSTPONED OR ADJOURNED?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Your proxy will still be valid and may be voted at the postponed or adjourned meeting. You will still be able to change or revoke your proxy until it is actually voted.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IS HOUSEHOLDING OF SPECIAL MEETING MATERIALS?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SEC permits companies to send a single copy of proxy materials to any household at which two or more stockholders reside, unless contrary instructions have been received, but only if we provide advance notice and follow certain procedures. This householding process reduces the volume of duplicate information and reduces printing and mailing expenses.</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not instituted householding for stockholders of record; however, certain brokerage firms may have instituted householding for beneficial owners of our Common Stock held through brokerage firms. If your family has multiple accounts holding our Common Stock, you may have already received householding notification from your broker. Please contact your broker directly if you have any questions or require additional copies of our fiscal 2025 Annual Report or this proxy statement. The broker will arrange for delivery of separate copies of these proxy materials promptly upon your written or oral request. You may decide at any time to revoke your decision to household, and thereby receive multiple copies.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WHAT SHOULD I DO IF I RECEIVE MORE THAN ONE SET OF VOTING MATERIALS?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the Notice of Special Meeting or this Proxy Statement and multiple proxy cards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will receive a notice for shares held in your name and a notice or voting instruction card for shares held in street name. Please follow the directions provided in the notice and each additional notice or voting instruction card you receive to ensure that all your shares are voted.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DO STOCKHOLDERS HAVE DISSENTER’S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do not have dissenter’s rights with respect to any of the proposals being voted on.</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WHAT ARE THE U.S. FEDERAL INCOME TAX CONSEQUENCES OF THE TRANSACTION TO U.S. STOCKHOLDERS?</w:t>
      </w:r>
    </w:p>
    <w:p>
      <w:pPr>
        <w:spacing w:after="0" w:line="9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Transaction is a corporate action. Our stockholders will not realize any gain or loss for U.S. federal income tax purposes as a result of the Transaction. See “</w:t>
      </w:r>
      <w:r>
        <w:rPr>
          <w:rFonts w:ascii="Times New Roman" w:cs="Times New Roman" w:eastAsia="Times New Roman" w:hAnsi="Times New Roman"/>
          <w:sz w:val="18"/>
          <w:szCs w:val="18"/>
          <w:i w:val="1"/>
          <w:iCs w:val="1"/>
          <w:color w:val="auto"/>
        </w:rPr>
        <w:t>Proposal One: Stock Purchase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WHAT ARE THE SOLICITATION EXPENSES AND WHO PAYS THE COST OF THIS PROXY SOLICITATION?</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pay the cost of soliciting proxies for the Special Meeting, and we have engaged Georgeson LLC, a proxy solicitation firm, to assist in the solicitation of proxies for the Special Meeting and will pay Georgeson LLC an estimated fee of $15,000, plus reimbursement of reasonable out of pocket expenses. We solicit by mail, telephone, personal contact and electronic means and arrangements are made with brokerage houses and other custodians, nominees and fiduciaries to send Notices, and if requested, other proxy materials, to beneficial owners. Upon request, we will reimburse them for their reasonable expenses. In addition, our directors, officers and employees may solicit proxies, either personally or by telephone, facsimile or written or electronic mail. Stockholders are requested to return their proxies without delay.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WHERE CAN I FIND VOTING RESULTS?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expects to publish the voting results in a Current Report on Form 8-K, which it expects to file with the SEC within four business days following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WHO CAN HELP ANSWER MY QUESTIONS?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information provided above in this “Question and Answer” format is for your convenience only and is merely a summary of the information contained in this Proxy Statement. We urge you to carefully read this entire Proxy Statement, including the documents we refer to herein. If you have any questions, need additional material, or require assistance in voting your shares, please feel free to contact Computershare. Stockholders may call Computershare toll-free at 1-800-652-8683.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Transaction</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Transaction, whether or not consummated, may adversely affect our business.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announcement and pendency of the Transaction, whether or not consummated, may adversely affect the trading price of our Class B common stock, our business or our relationships with customers, suppliers and employees. In addition, pending the completion of the Transaction, we may be unable to attract and retain key personnel and the focus and attention of our management and employee resources may be diverted from operational matters during the pendency of the Transaction. It is also possible that customers or other important counterparties of Archenia terminate their relationship with Archenia during this period, which may result in our acquiring a Business with less value than we anticipate.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if or when the Transaction will be completed.</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closing of the Transaction is subject to the satisfaction or waiver of various conditions, including Stockholder Approval. The closing conditions set forth in the Stock Purchase Agreement may not be satisfied. If we are unable to satisfy the closing conditions in Sellers’ favor or if other mutual closing conditions are not satisfied, Sellers will not be obligated to complete the Transaction. In the event that the Transaction is not completed, the announcement of the termination of the Stock Purchase Agreement may adversely affect the trading price of our Class B common stock, our business and operations or our relationships with customers, suppliers and employees. Any delay in completing the Transaction may significantly reduce the benefits that the Company expects to achieve if it successfully completes the Transaction within the expected timeframe.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in connection with the Transaction, regardless of whether the Transaction is completed.</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expect to incur significant expenses related to the Transaction. These expenses include, but are not limited to, financial advisory and opinion fees and expenses, legal fees, accounting fees and expenses, certain employee expenses, filing fees, printing expenses and other related fees and expenses. Many of these expenses will be payable by us regardless of whether the Transaction is completed.</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obtained by the Company from its financial advisor does not and will not reflect changes in circumstances subsequent to the date of the Stock Purchase Agreement.</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8, 2026, Craig-Hallum rendered its oral opinion to the Special Committee (which was subsequently confirmed in writing by delivery of Craig-Hallum’s written opinion addressed to the Board dated the same date) as to, as of May 8, 2026, the fairness, from a financial point of view, to the stockholders of the Company of the consideration to be received by Buyer in the Transaction pursuant to the Stock Purchase Agreement in exchange for the Business.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the Company believes there have been no material changes in the matters and conditions considered by Craig-Hallum in rendering its fairness opinion and no material changes are anticipated to occur prior to the Special Meeting, changes in the operations and prospects of the Company, general market and economic conditions and other factors that may be beyond the control of the Company, and on which the opinion was based, may alter the value of assets by the time the Transaction is completed. The opinion rendered by Craig-Hallum does not speak to the time when the Transaction will be completed. For a more complete description of the opinion rendered by Craig-Hallum, see “</w:t>
      </w:r>
      <w:r>
        <w:rPr>
          <w:rFonts w:ascii="Times New Roman" w:cs="Times New Roman" w:eastAsia="Times New Roman" w:hAnsi="Times New Roman"/>
          <w:sz w:val="18"/>
          <w:szCs w:val="18"/>
          <w:i w:val="1"/>
          <w:iCs w:val="1"/>
          <w:color w:val="auto"/>
        </w:rPr>
        <w:t>Opinion of the Financial Advisor to the Company</w:t>
      </w:r>
      <w:r>
        <w:rPr>
          <w:rFonts w:ascii="Times New Roman" w:cs="Times New Roman" w:eastAsia="Times New Roman" w:hAnsi="Times New Roman"/>
          <w:sz w:val="18"/>
          <w:szCs w:val="18"/>
          <w:color w:val="auto"/>
        </w:rPr>
        <w:t>” and the full text of the opinion contained in Annex B to this Proxy Statement.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Chairman and Vice Chairman may have interests in the Transaction other than, or in addition to, the interests of our stockholders generally.</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Chairman and certain executive officers may have interests in the Transaction that are different from, or are in addition to, the interests of our stockholders generally. The Company entered into the Stock Purchase Agreement with the Sellers, who include Russell C. Horowitz, our Chairman, and Michael Arends, our Vice Chairman. Accordingly, all of the rights and obligations of Sellers under the Stock Purchase Agreement indirectly affect the interests of</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Messrs. Horowitz and Arends. Whether and to what extent the payments in connection with the Earn-out Consideration are made by the Company may be influenced by the future business performance, accounting decisions and reporting of Sellers. In addition, as directors of Marchex, Messrs. Horowitz and Arends enjoy certain rights to indemnification from the Company, which may be triggered in circumstances relating to the Stock Purchase Agreement.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Closely Held Private Company History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a closely held private company, Archenia did not have a history of having its financial statements audited. As part of the audit of Archenia, a material weakness in internal controls related to documentation retention controls was identified. There is a risk that other material weaknesses may exist that were not identified.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Future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attention.</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may be subject to securities litigation in connection with the Transaction,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strategic, financial, operational or other benefits from the Transaction that we hope to achieve.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agreed to purchase all outstanding shares of Archenia for $10.0 million payable in convertible promissory notes, and we may be required to issue the Earn-out Consideration if specified post-closing revenue or adjusted EBITDA, and integration or customer-retention, milestones are achieved. Even if the Transaction closes, we may not realize the anticipated benefits from the Transaction on the timeline or to the extent we expect due to any number of factors, including whether Archenia’s software will be successfully integrated, whether Archenia’s customers will continue to generate revenue or remain under contract, or whether the Business will perform as expected. Following completion of Transaction, we will face risks associated with owning, operating and integrating the Business, and the convertible promissory notes could create cash payment obligations, reduce liquidity or dilute existing stockholders. If we are unable to successfully integrate Archenia, retain key customer relationships, satisfy our obligations under the convertible promissory notes, or otherwise realize the expected benefits of the Transaction, our business, financial condition, results of operations, liquidity and prospects could be materially and adversely affected.</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following the Transaction will depend on our ability to successfully integrate Archenia’s software into our product capabilities and achieve market acceptance of these offerings.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Following completion of the Transaction, our success will depend in part on our ability to integrate Archenia’s software into our product capabilities, to retain Archenia’s customer base, and to grow revenue from the Business. The markets for software-enabled products and services are characterized by rapid technological change, evolving industry standards, changing customer preferences, new product and service introductions and the emergence of competitors with lean or flexible cost models. Our future success will depend on our ability to develop, enhance and commercialize services, platforms and solutions that incorporate or complement Archenia’s software and keep pace with changes in our addressable markets. We cannot guarantee that we will be successful in integrating Archenia’s software, developing or enhancing offerings on a timely or cost-effective basis or retaining Archenia’s customers.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xml:space="preserve"> also cannot guarantee that products, services or technologies developed by others will not render its offerings non-competitive or obsolete. If we fail to address these developments or successfully integrate and commercialize Archenia’s software, our business, results of operations and financial condition could be materially adversely affected.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could give rise to disputes or other unfavorable effects, which could materially and adversely affect our business, financial position or results of operations.</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completion of the Transaction, we will own and operate Archenia, and may incur nonrecurring and recurring costs associated with integrating Archenia’s software, customer relationships, personnel and operations into our business. The Transaction consideration includes convertible promissory notes and may include issuance of the Earn-out Consideration if specified post-closing revenue or adjusted EBITDA, and integration or customer-retention,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milestones are achieved. Disputes could arise with the Sellers regarding the achievement of those milestones, the operation of the acquired business or our obligations under the Notes. We could also experience unfavorable reactions from customers, employees, vendors, financing partners, stockholders or other interested parties as a result of the Transaction and related integration activities. These increased expenses, changes to operations, disputes with the Sellers or third parties, integration challenges, liquidity or dilution effects or other consequences of the Transaction could materially and adversely affect Marchex’s business, financial position or results of operations.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may result in a loss of customers, suppliers, vendors and other business partners, may delay or adversely affect the Transaction, and may result in the modification or termination of existing contracts.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Before and following the Transaction, some of Archenia’s customers, suppliers, vendors and other business partners may modify, terminate or scale back their current or prospective business relationships with Archenia or us. The Stock Purchase Agreement contemplates that certain third-party notices and consents may be required in connection with contracts to which Archenia is a party or by which Archenia or its properties, assets or business are bound, including circumstances in which the transaction could result in acceleration, termination, modification or cancellation rights under those contracts. The Stock Purchase Agreement also requires the Sellers to use reasonable best efforts to give all notices to, and obtain all consents from, third parties described in the disclosure schedules, and receipt of listed approvals, consents and waivers is a condition to our obligation to close the Transaction. Any required notices or consents may not be given or obtained on favorable terms or at all, seeking such consents may delay or adversely affect the Transaction, and counterparties may seek to modify, terminate or otherwise adversely change their relationships with Archenia or us in connection with the Transaction. In addition, achieving the Earn-out Consideration may depend on customers representing at least 75% of Archenia’s pre-closing customer base continuing to generate revenue or remain under contract with us during the applicable performance period, which underscores the importance of customer retention to the expected economics of the Transaction. If relationships with customers, suppliers, vendors or other business partners are adversely affected by the Transaction, if required consents are not obtained or are obtained only on unfavorable terms, or if we lose the benefits of existing Archenia contracts, our business, financial condition and results of operations could be adversely affected.</w:t>
      </w:r>
    </w:p>
    <w:p>
      <w:pPr>
        <w:spacing w:after="0" w:line="12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B common stock after the Transaction may be affected by factors different from those that currently affect the market price of our Class B common stock.</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Sellers may become holders of our Class B common stock through conversion of the Notes and through the issuance of the Earn-out Consideration. Our business following the Transaction will include the Business we are acquiring from Archenia, and the results of operations and market price of our Class B common stock after the Transaction may be affected by factors different from those that currently affect us on a standalone basis, including risks relating to integration, customer retention, Archenia’s revenue and Adjusted EBITDA performance, and the potential issuance and resale of conversion shares and Earn-out Consideration. The market price and performance of our Class B common stock after the Transaction may therefore differ from the market price and performance of our Class B common stock in the absence of the Transaction.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proxy statement contain forward-looking statements that involve substantial risks and uncertainties. All statements, other than statements of historical facts, included herein regarding the consummation of the Transaction, the satisfaction of the thresholds for the Earn-out Consideration, and the Company’s strategy, future operations, future financial position, future revenues, other financial guidance (including the financial projections provided to Craig-Hallum in connection with its fairness opinion), acquisitions, dispositions, projected costs, prospects, plans and objectives of management are forward-looking statements. The Company may not actually achieve the plans, intentions, or expectations disclosed in its forward-looking statements and you should not place undue reliance on the Company’s forward-looking statements. Actual results or events could differ materially from the plans, intentions and expectations disclosed in the forward-looking statements the Company makes due to a number of important factors including but not limited to:</w:t>
      </w:r>
    </w:p>
    <w:p>
      <w:pPr>
        <w:spacing w:after="0" w:line="124" w:lineRule="exact"/>
        <w:rPr>
          <w:sz w:val="20"/>
          <w:szCs w:val="20"/>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Stock Purchase Agreement;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failing to approve the Stock Purchase Proposal;</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one or more conditions to the closing of the Transaction to be satisfied or waived by the applicable party;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costs, fees, expenses and other charges related to the Stock Purchase Agreement or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the diversion of management’s attention from our ongoing business operations;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identify and realize business opportunities following the Transaction;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Sellers to meet (i) revenue and Adjusted EBITDA thresholds and (ii) certain specified integration or customer retention targets, for the Earn-out Consideration;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such as product demand, order cancellations and delays, and competition;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business strategy or development plans;</w:t>
      </w:r>
    </w:p>
    <w:p>
      <w:pPr>
        <w:spacing w:after="0" w:line="155"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 and the other filings we make with the SEC from time to time.</w:t>
      </w:r>
    </w:p>
    <w:p>
      <w:pPr>
        <w:spacing w:after="0" w:line="9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Most of these factors are beyond our ability to predict or control. Any of these factors, or a combination of these factors, could materially affect our future financial condition or results of operations and the ultimate accuracy of our forward-looking statements. There also are other factors that we may not describe (generally because we currently do not perceive them to be material) that could cause actual results to differ materially from our expectations.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expressly disclaim any obligation to update or revise any forward-looking statements, whether as a result of new information, future events or otherwise, except as required by law.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Time, Date and Place</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Special Meeting is scheduled to be held on Wednesday, July 1, 2026, at 10:00 AM Pacific Time at DLA Piper LLP (US), 701 Fifth Avenue, Suite 6900, Seattle, Washington 98104.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our Special Meeting, stockholders will act upon the matters outlined in the notice, including the following:</w:t>
      </w:r>
    </w:p>
    <w:p>
      <w:pPr>
        <w:spacing w:after="0" w:line="158"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Purchase Proposal;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Proposal</w:t>
      </w:r>
    </w:p>
    <w:p>
      <w:pPr>
        <w:spacing w:after="0" w:line="15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Other than the proposals noted above, we do not expect a vote to be taken on any other matters at the Special Meeting or any adjournment or postponement thereof. However, if any other matters are properly presented at the Special Meeting or any adjournment or postponement thereof for consideration, the holders of the proxies solicited by this Proxy Statement will have discretion to vote on such matters in accordance with applicable law and their judgment.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Our Board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careful consideration, our Board (in reliance on the recommendation from the Special Committee)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unanimously recommends that you vote:</w:t>
      </w:r>
    </w:p>
    <w:p>
      <w:pPr>
        <w:spacing w:after="0" w:line="122"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One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Purchase Proposal;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Two —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reaching its decision to recommend that you vote in the manner noted above, our Board considered a wide range of factors relating to the Transaction, the Stock Purchase Agreement and the Related Agreements. These factors included, among others, the Board’s fiduciary duties to the Company’s stockholders, the terms of the Stock Purchase Agreement and the Related Agreements, including, among others, the consideration proposed to be paid by the Company, the tax treatment, the Sellers’ indemnification obligations and the conditions on the parties’ obligations to consummate the Transaction, the potential impact of the Transaction on the Company’s employees and customers, the risks involved with the Transaction, including the potential non-consummation of the Transaction, the Special Committee’s unanimous approval of the Transaction, the value of the consideration to be received, and the fairness opinion of the financial advisor retained by the Special Committee summarized under “</w:t>
      </w:r>
      <w:r>
        <w:rPr>
          <w:rFonts w:ascii="Times New Roman" w:cs="Times New Roman" w:eastAsia="Times New Roman" w:hAnsi="Times New Roman"/>
          <w:sz w:val="18"/>
          <w:szCs w:val="18"/>
          <w:i w:val="1"/>
          <w:iCs w:val="1"/>
          <w:color w:val="auto"/>
        </w:rPr>
        <w:t>Opinion of the Financial Advisor to the Company</w:t>
      </w:r>
      <w:r>
        <w:rPr>
          <w:rFonts w:ascii="Times New Roman" w:cs="Times New Roman" w:eastAsia="Times New Roman" w:hAnsi="Times New Roman"/>
          <w:sz w:val="18"/>
          <w:szCs w:val="18"/>
          <w:color w:val="auto"/>
        </w:rPr>
        <w:t>.” For more information on these factors (including the Special Committee process), see “</w:t>
      </w:r>
      <w:r>
        <w:rPr>
          <w:rFonts w:ascii="Times New Roman" w:cs="Times New Roman" w:eastAsia="Times New Roman" w:hAnsi="Times New Roman"/>
          <w:sz w:val="18"/>
          <w:szCs w:val="18"/>
          <w:i w:val="1"/>
          <w:iCs w:val="1"/>
          <w:color w:val="auto"/>
        </w:rPr>
        <w:t>Proposal One: Stock Purchase Proposal — Reasons for the Transaction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Our Board</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Voting Power</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Only holders of record of our Class A common stock and Class B common stock, at the close of business on May 22, 2026, or the Record Date, will be entitled to notice of, and to vote at, the Special Meeting. On the Record Date, 4,660,927 shares of Class A common stock and 39,660,339 shares of Class B common stock were issued and outstanding. Each share of Class A common stock is entitled to twenty-five (25) votes at the Special Meeting and each share of Class B common stock is entitled to one (1) vote at the Special Meeting. Holders of Class A common stock and Class B common stock will vote together as a single class on all matters that come before the Special Meeting. No other shares of Common Stock were outstanding on the Record Date.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presence, in person or represented by proxy, of a majority of the voting power of the outstanding shares of Common Stock entitled to vote as of the close of business on the Record Date constitutes a quorum. Abstentions and broker non-votes will count toward establishing a quorum. Broker non-votes occur when brokers holding shares in street name for beneficial owners do not receive instructions from the beneficial owners about how to vote the shares. An abstention occurs when a stockholder withholds such stockholder’s vote by checking the “abstain” box on the proxy card or (for beneficial owners) voting information form. Under the rules that govern brokers who are voting</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with respect to shares held in street name, brokers have the discretion to vote such shares on routine matters, including the ratification of appointment of independent registered accounting firm. However, even if a quorum does not exist, pursuant to the Adjournment Proposal, a majority of the shares on Common Stock present, in person or by proxy, at the Special Meeting may act to postpone or adjourn the Special Meeting to another place, date and time.</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share of Common Stock is represented by presence or by proxy at the Special Meeting, it will be counted for purposes of determining whether a quorum exists at the Special Meeting and any adjournment or postponement of the Special Meeting. However, if a new record date is set for the adjourned or postponed Special Meeting, a new quorum will have to be established. For purposes of determining the presence of a quorum, abstentions will be counted as present at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5"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i w:val="1"/>
          <w:iCs w:val="1"/>
          <w:color w:val="auto"/>
        </w:rPr>
        <w:t>Proposal One:</w:t>
      </w:r>
      <w:r>
        <w:rPr>
          <w:sz w:val="20"/>
          <w:szCs w:val="20"/>
          <w:color w:val="auto"/>
        </w:rPr>
        <w:tab/>
      </w:r>
      <w:r>
        <w:rPr>
          <w:rFonts w:ascii="Times New Roman" w:cs="Times New Roman" w:eastAsia="Times New Roman" w:hAnsi="Times New Roman"/>
          <w:sz w:val="17"/>
          <w:szCs w:val="17"/>
          <w:b w:val="1"/>
          <w:bCs w:val="1"/>
          <w:i w:val="1"/>
          <w:iCs w:val="1"/>
          <w:color w:val="auto"/>
        </w:rPr>
        <w:t>Stock Purchase Proposal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approval of the Stock Purchase Proposal requires the affirmative vote of (a) a majority of the voting power of all issued and outstanding Class A common stock and Class B common stock entitled to vote at the Special Meeting (treated as a single class) and (b)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 xml:space="preserve">disregarding </w:t>
      </w:r>
      <w:r>
        <w:rPr>
          <w:rFonts w:ascii="Times New Roman" w:cs="Times New Roman" w:eastAsia="Times New Roman" w:hAnsi="Times New Roman"/>
          <w:sz w:val="18"/>
          <w:szCs w:val="18"/>
          <w:color w:val="auto"/>
        </w:rPr>
        <w:t>stock owned by Russell C. Horowitz and Michael Arends (“the “</w:t>
      </w:r>
      <w:r>
        <w:rPr>
          <w:rFonts w:ascii="Times New Roman" w:cs="Times New Roman" w:eastAsia="Times New Roman" w:hAnsi="Times New Roman"/>
          <w:sz w:val="18"/>
          <w:szCs w:val="18"/>
          <w:u w:val="single" w:color="auto"/>
          <w:color w:val="auto"/>
        </w:rPr>
        <w:t>Majority of the Minority 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close of business on the Record Date present or represented by proxy. Stockholders may vote “for”, “against” or “abstain” for the Stock Purchase Proposal. If you “abstain” from voting on the Stock Purchase Proposal, your abstention will have the same effect as a vote “against” the Stock Purchase Proposal.</w:t>
      </w:r>
    </w:p>
    <w:p>
      <w:pPr>
        <w:spacing w:after="0" w:line="188"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i w:val="1"/>
          <w:iCs w:val="1"/>
          <w:color w:val="auto"/>
        </w:rPr>
        <w:t>Proposal Two:</w:t>
        <w:tab/>
        <w:t>Adjournment Proposal</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Adjournment Proposal will be approved, regardless of whether a quorum is present at the Special Meeting, by the affirmative vote of a majority of the voting power cast by stockholders present or represented by proxy at the Special Meeting.</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Holders of our Common Stock may vote “FOR,” “AGAINST” or “ABSTAIN” with respect to the Adjournment Proposal.</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Abstentions and broker non-votes are counted to determine whether a quorum is present at the Special Meeting but are not counted as a vote in favor of or against a particular matter.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Stockholders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Your vote is very important to us and we hope that you will participate in the Special Meeting. However, whether or not you plan to participate in the Special Meeting, please vote by proxy in accordance with the instructions on your proxy card or voting instruction card (from your broker, bank or other nominee). Below are descriptions of how you may vote your shares depending on whether or not you are a stockholder of record or a beneficial owner.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158" w:lineRule="exact"/>
        <w:rPr>
          <w:sz w:val="20"/>
          <w:szCs w:val="20"/>
          <w:color w:val="auto"/>
        </w:rPr>
      </w:pPr>
    </w:p>
    <w:p>
      <w:pPr>
        <w:ind w:left="880"/>
        <w:spacing w:after="0"/>
        <w:tabs>
          <w:tab w:leader="none" w:pos="1300" w:val="left"/>
          <w:tab w:leader="none" w:pos="1740" w:val="left"/>
          <w:tab w:leader="none" w:pos="3380" w:val="left"/>
          <w:tab w:leader="none" w:pos="4400" w:val="left"/>
          <w:tab w:leader="none" w:pos="5560" w:val="left"/>
          <w:tab w:leader="none" w:pos="6120" w:val="left"/>
          <w:tab w:leader="none" w:pos="6680" w:val="left"/>
          <w:tab w:leader="none" w:pos="7120" w:val="left"/>
          <w:tab w:leader="none" w:pos="7580" w:val="left"/>
          <w:tab w:leader="none" w:pos="8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By</w:t>
        <w:tab/>
        <w:t>Internet.</w:t>
      </w:r>
      <w:r>
        <w:rPr>
          <w:sz w:val="20"/>
          <w:szCs w:val="20"/>
          <w:color w:val="auto"/>
        </w:rPr>
        <w:tab/>
      </w:r>
      <w:r>
        <w:rPr>
          <w:rFonts w:ascii="Times New Roman" w:cs="Times New Roman" w:eastAsia="Times New Roman" w:hAnsi="Times New Roman"/>
          <w:sz w:val="18"/>
          <w:szCs w:val="18"/>
          <w:color w:val="auto"/>
        </w:rPr>
        <w:t>Registered</w:t>
        <w:tab/>
        <w:t>stockholders</w:t>
        <w:tab/>
        <w:t>may</w:t>
        <w:tab/>
        <w:t>vote</w:t>
        <w:tab/>
        <w:t>on</w:t>
        <w:tab/>
        <w:t>the</w:t>
        <w:tab/>
        <w:t>Internet</w:t>
      </w:r>
      <w:r>
        <w:rPr>
          <w:sz w:val="20"/>
          <w:szCs w:val="20"/>
          <w:color w:val="auto"/>
        </w:rPr>
        <w:tab/>
      </w:r>
      <w:r>
        <w:rPr>
          <w:rFonts w:ascii="Times New Roman" w:cs="Times New Roman" w:eastAsia="Times New Roman" w:hAnsi="Times New Roman"/>
          <w:sz w:val="16"/>
          <w:szCs w:val="16"/>
          <w:color w:val="auto"/>
        </w:rPr>
        <w:t>at</w:t>
      </w:r>
    </w:p>
    <w:p>
      <w:pPr>
        <w:spacing w:after="0" w:line="3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i w:val="1"/>
          <w:iCs w:val="1"/>
          <w:color w:val="auto"/>
        </w:rPr>
        <w:t>www.investorvote.com/MCHX</w:t>
      </w:r>
      <w:r>
        <w:rPr>
          <w:rFonts w:ascii="Times New Roman" w:cs="Times New Roman" w:eastAsia="Times New Roman" w:hAnsi="Times New Roman"/>
          <w:sz w:val="18"/>
          <w:szCs w:val="18"/>
          <w:color w:val="auto"/>
        </w:rPr>
        <w:t>. Please have your proxy card in hand when going online and follow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online instructions. Stockholders that vote by Internet must bear all costs associated with electronic access, including Internet access fees. Internet voting for registered stockholders is available up until 11:59 PM, Pacific Time, on June 30, 2026, the day before the Special Meeting. The Internet voting procedures are designed to authenticate each stockholder by use of a control number to allow stockholders to vote their shares and to confirm that their instructions have been properly recorded. The control number can be found on the enclosed proxy card.</w:t>
      </w:r>
    </w:p>
    <w:p>
      <w:pPr>
        <w:spacing w:after="0" w:line="117" w:lineRule="exact"/>
        <w:rPr>
          <w:sz w:val="20"/>
          <w:szCs w:val="20"/>
          <w:color w:val="auto"/>
        </w:rPr>
      </w:pPr>
    </w:p>
    <w:p>
      <w:pPr>
        <w:jc w:val="both"/>
        <w:ind w:left="1320" w:right="479" w:hanging="434"/>
        <w:spacing w:after="0" w:line="258" w:lineRule="auto"/>
        <w:tabs>
          <w:tab w:leader="none" w:pos="131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Registered stockholders may vote their shares by signing, dating and mailing the enclosed proxy card using the enclosed postage pre-paid envelope. We strongly encourage you, however, to consider using the Internet or telephone voting options described below because these voting methods are faster and less costly than voting by mailing your signed and dated proxy card. If you vote via the Internet or telephone, you do not need to mail your proxy card.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1320" w:right="479" w:hanging="434"/>
        <w:spacing w:after="0" w:line="259" w:lineRule="auto"/>
        <w:tabs>
          <w:tab w:leader="none" w:pos="131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Registered stockholders also may vote by telephone by calling 1-800-652-8683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(toll-free) and using any touch-tone telephone to transmit their votes up to 11:59 PM, Pacific Time, on June 30, 2026, the day before the Special Meeting. Please have your proxy card in hand when you call and then follow the instructions. The control number necessary to vote your shares by telephone can be found on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Beneficial Owners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of record in the name of a bank, broker or other nominee you should follow the separate instructions that the nominee provides to you. Although most banks and brokers now offer Internet and telephone voting, availability and specific processes will depend on their voting arrangements.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If your shares are held of record in the name of your bank, broker or other nominee and you would like to submit a vote during your participation in the Special Meeting, you must you must register in advance to attend the Special Meeting. You also must submit proof of your proxy power (legal proxy) from your bank, broker or other nominee reflecting your Marchex holdings along with your name and email address to Computershare by email at the email address </w:t>
      </w:r>
      <w:r>
        <w:rPr>
          <w:rFonts w:ascii="Times New Roman" w:cs="Times New Roman" w:eastAsia="Times New Roman" w:hAnsi="Times New Roman"/>
          <w:sz w:val="18"/>
          <w:szCs w:val="18"/>
          <w:b w:val="1"/>
          <w:bCs w:val="1"/>
          <w:color w:val="auto"/>
        </w:rPr>
        <w:t>legalproxy@computershare.com</w:t>
      </w:r>
      <w:r>
        <w:rPr>
          <w:rFonts w:ascii="Times New Roman" w:cs="Times New Roman" w:eastAsia="Times New Roman" w:hAnsi="Times New Roman"/>
          <w:sz w:val="18"/>
          <w:szCs w:val="18"/>
          <w:color w:val="auto"/>
        </w:rPr>
        <w:t>. Requests for registration must be labeled “Legal Proxy” and be received no later than 11:59 PM, Pacific Time, on June 30, 2026. You will receive a confirmation email from Computershare of your registration.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Abstentions will have the same effect as a vote “AGAINST” the Stock Purchase Proposal.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Abstentions will have no effect on the outcome of the Adjournment Proposal.</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purposes of determining the presence of a quorum, abstentions will be counted as present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Brokers, banks or other nominees who hold shares in “street name” for their customers have authority to vote those shares on “routine” proposals when they have not received instructions from the beneficial owners of such shares. However, brokers, banks or other nominees do not have the authority to vote shares they hold for their customers on “non-routine” proposals when they have not received instructions from the beneficial owners of such shares.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Broker non-votes occur when shares are held in “street name” through a broker, bank or other intermediary on behalf of a beneficial owner,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 The Stock Purchase Proposal and the Adjournment Proposal are considered “non-routine” matters. Therefore, if you do not provide voting instructions to your broker regarding the Stock Purchase Proposal or the Adjournment Proposal, your broker will not be permitted to exercise voting authority to vote your shares on such proposals and will result in a broker non-vote.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Failure to Vote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and you do not vote at the Special Meeting by submitting a vote or properly return your proxy card or vote over the Internet or by phone, your shares will not be voted at the Special Meeting, will not be counted as present or by proxy at the Special Meeting and will not be counted for purposes of determining whether a quorum exists.</w:t>
      </w:r>
    </w:p>
    <w:p>
      <w:pPr>
        <w:spacing w:after="0" w:line="99" w:lineRule="exact"/>
        <w:rPr>
          <w:sz w:val="20"/>
          <w:szCs w:val="20"/>
          <w:color w:val="auto"/>
        </w:rPr>
      </w:pPr>
    </w:p>
    <w:p>
      <w:pPr>
        <w:jc w:val="both"/>
        <w:ind w:left="460" w:right="459"/>
        <w:spacing w:after="0" w:line="277" w:lineRule="auto"/>
        <w:rPr>
          <w:sz w:val="20"/>
          <w:szCs w:val="20"/>
          <w:color w:val="auto"/>
        </w:rPr>
      </w:pPr>
      <w:r>
        <w:rPr>
          <w:rFonts w:ascii="Times New Roman" w:cs="Times New Roman" w:eastAsia="Times New Roman" w:hAnsi="Times New Roman"/>
          <w:sz w:val="17"/>
          <w:szCs w:val="17"/>
          <w:color w:val="auto"/>
        </w:rPr>
        <w:t>As discussed above, brokers, banks and other nominees do not have discretionary voting authority with respect the Stock Purchase Proposal. Accordingly, if you are the beneficial owner of shares held in “street name” and you do not issue voting instructions to your broker, bank or other nominee with respect to the Stock Purchase Proposal, your shares will not be voted at the Special Meeting and will not be deemed present for any purpose at the Special Meeting related to such proposals, including for purposes of determining whether a quorum exists.</w:t>
      </w:r>
    </w:p>
    <w:p>
      <w:pPr>
        <w:spacing w:after="0" w:line="10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failure to vote will have the same effect as a vote “AGAINST” the approval of the Stock Purchase Proposal but will have no effect on the outcome of the Adjournment Proposal.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stockholder of record who has given a proxy may revoke it at any time prior to its exercise at the Special Meeting by (i) giving written notice of revocation to our Secretary, (ii) properly submitting a duly executed proxy bearing a later date, or (iii) appearing in person at the Special Meeting and voting in person.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are the beneficial owner of shares held through a broker, trustee, or other nominee, you must follow the specific instructions provided to you by your broker, trustee, or other nominee to change or revoke any instructions you already have provided to your broker, trustee, or other nominee.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Attendance at the Special Meeting in and of itself, will not constitute a revocation of a proxy.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Special Meeting may be adjourned for any purpose, including for the purpose of obtaining a quorum or soliciting additional votes if there are insufficient votes to authorize the Stock Purchase Proposal. Any adjournment may be made without notice (if the adjournment is not for more than 30 days and a new record date is not fixed for the adjourned meeting), by an announcement made at the Special Meeting of the time, date and place of the adjourned meeting. Any adjournment will allow stockholders of record who have already sent in proxies to revoke them at any time prior to their use at the Special Meeting, as adjourned.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is soliciting proxies for the Special Meeting to be held on July 1, 2026, at 10:00 AM Pacific Time at DLA Piper LLP (US), 701 Fifth Avenue, Suite 6900, Seattle, Washington 98104. This Proxy Statement contains important information for you to consider when deciding how to vote on the matters brought before the Special Meeting.</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will bear the expense of soliciting proxies and we have engaged Georgeson LLC, a proxy solicitation firm, to assist in the solicitation of proxies for the Special Meeting and will pay Georgeson LLC an estimated fee of $15,000, plus reimbursement of reasonable out of pocket expenses. We will reimburse banks, brokers and other custodians, nominees and fiduciaries for reasonable charges and expenses incurred in forwarding soliciting materials to their clients. We may conduct further solicitation personally or telephonically through our directors, officers, and employees, none of whom will receive additional compensation for assisting with the solicitation.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have any questions, need additional material, or require assistance in voting your shares, please feel free to contact Computershare. Stockholders may call Computershare toll-free at 1-800-652-8683.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PROPOSAL ONE: STOCK PURCHASE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about the Parties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We are a conversation intelligence company that harnesses the power of AI and conversation intelligence to provide actionable insights derived from prescriptive vertical market data analytics. We enable organizations across business functions to optimize customer acquisitions and experiences, transforming conversations into meaningful business outcomes. We provide AI-powered conversation intelligence solutions for market-leading companies in leading B2B2C vertical markets, including many of the world’s most innovative and successful brands. We were incorporated in 2003 under the laws of the State of Delaware. Our executive office is located at 1448 NW Market St, Suite 500, Seattle, Washington 98107. Our telephone number is (206) 331-3300. Our website is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Class B common stock is listed on Nasdaq under the ticker symbol “MCHX.”</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Archenia</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Archenia is a performance-based marketing technology company focused on customer qualification and acquisition. Archenia transforms consumer intent into AI-verified, outcome-based results by leveraging AI, natural-language analytics, and automated decisioning to identify and deliver high-intent consumer interactions to advertisers. Archenia was incorporated in 2020 under the laws of the State of Delaware.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Description of the Transaction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May 8, 2026, we entered into a Stock Purchase Agreement with Sellers pursuant to which, and upon the terms and subject to the conditions thereof, we agreed to acquire from the Sellers, and the Sellers agreed to sell to us, 100% of the outstanding shares of capital stock of Archenia.</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We are seeking stockholder approval regarding the purchase of the Business because the Sellers include Russell C. Horowitz, our Chairman, and Michael Arends, our Vice Chairman. We formed the Special Committee, comprised solely of independent directors of the Company, to negotiate and consider the Transaction. The Special Committee, along with the full Board, in conjunction with the Sellers, believe it appropriate to seek stockholder approval, and strongly desire the input of the Company’s stockholders, given the extent of the consideration payable by the Company to the Sellers in the purchase of the Business. In addition, Nasdaq Listing Rule 5635(a)(2) requires shareholder approval prior to the issuance of securities in connection with the acquisition of the stock of another company if any director, officer or substantial shareholder of the listed company has a 5% or greater interest in the company or assets to be acquired or in the consideration to be paid, and the potential issuance of common stock could result in an increase in outstanding common stock or voting power of 5% or more. It is possible that stock issued in pursuant to a conversion of the Notes or the Earnout Consideration may exceed 5% of the Company’s outstanding shares. Shareholder approval of the Stock Purchase Proposal would permit the Company to proceed with the Transaction, including to issue the Notes and Earnout Consideration.</w:t>
      </w:r>
    </w:p>
    <w:p>
      <w:pPr>
        <w:spacing w:after="0" w:line="13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retaining and will continue to operate and manage our business through which we provide AI-powered conversation intelligence solutions, enhanced by Archenia’s performance-based customer qualification and acquisition capabilities following the closing of the Transaction.</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more information on the above, please see “— </w:t>
      </w:r>
      <w:r>
        <w:rPr>
          <w:rFonts w:ascii="Times New Roman" w:cs="Times New Roman" w:eastAsia="Times New Roman" w:hAnsi="Times New Roman"/>
          <w:sz w:val="18"/>
          <w:szCs w:val="18"/>
          <w:i w:val="1"/>
          <w:iCs w:val="1"/>
          <w:color w:val="auto"/>
        </w:rPr>
        <w:t>Stock Purchase Agreement — Acquisition of Archenia.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A copy of the Stock Purchase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You are encouraged to read the Stock Purchase Agreement carefully and in its entirety.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Consideration for the Transaction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As consideration for the purchase of the Business, Buyer has agreed to pay the Sellers the Purchase Price, which consists of (a) the Notes, and (b) the Earn-out Consideration. For more information, please see “—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Agreement — Consideration.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and senior management of the Company, with the assistance of the Company’s outside legal and financial advisors, regularly review the Company’s long-term strategic plan with the goal of maximizing stockholder value. From time to time, the Board has explored potential acquisitions of products, technology, or personnel to enhance the Company’s ability to pursue its market opportunity, as well as other strategic transactions.</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October 2025, members of the Board, which consists of three independent directors and two of the Sellers, held preliminary discussions regarding the Company potentially acquiring Archenia from the Sellers, with the prospect of a potential offer to sell from the Sellers. In addition to expanding the Company’s product offerings, a potential purchase of the Business could create both cross-selling opportunities with the Company’s and Archenia’s customers, expand verticals, and enhance customer retention.</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October 28, 2025, Archenia sent to Marchex a non-binding proposal that Marchex acquire 100% of the equity interests of Archenia, in consideration of a $12 million convertible promissory note, an earnout based on achieving specified Adjusted EBITDA and/or revenue thresholds, and contingent warrants. The proposal also contained a discussion of the strategic rationale for a transaction, including industry-level dynamics, a larger market opportunity, a favorable financial profile, potential synergies, and Archenia’s integration and execution readiness.</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Later that day, the Board formed the Special Committee, comprised of the three independent directors of the Company, to consider the proposal and any other proposals the Company may receive from third parties, including to negotiate terms, reject the proposal, and make recommendations to the Board. DLA Piper LLP (US) (“</w:t>
      </w:r>
      <w:r>
        <w:rPr>
          <w:rFonts w:ascii="Times New Roman" w:cs="Times New Roman" w:eastAsia="Times New Roman" w:hAnsi="Times New Roman"/>
          <w:sz w:val="18"/>
          <w:szCs w:val="18"/>
          <w:u w:val="single" w:color="auto"/>
          <w:color w:val="auto"/>
        </w:rPr>
        <w:t>DLA Piper</w:t>
      </w:r>
      <w:r>
        <w:rPr>
          <w:rFonts w:ascii="Times New Roman" w:cs="Times New Roman" w:eastAsia="Times New Roman" w:hAnsi="Times New Roman"/>
          <w:sz w:val="18"/>
          <w:szCs w:val="18"/>
          <w:color w:val="auto"/>
        </w:rPr>
        <w:t>”) was engaged to advise the Special Committee in connection with the proposal.</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29, 2025, Archenia sent to Marchex a more detailed proposal regarding the consideration structure, including the convertible note being payable in three tranches on the 6-, 12- and 18-month anniversary of the closing date, 6.5% interest payable quarterly, and conversion as the share price prior to the announcement of the transaction. Archenia also proposed that the earn-out would be based on Archenia quarterly Adjusted EBITDA exceeding a $500,000 threshold, with an equal split of any amount in excess of this threshold, along with a 1.75% revenue share with the Sellers on Archenia revenue that exceeds 70% of its revenue in year prior to the closing. In addition, Archenia proposed that 10-year warrants to purchase 50% of the shares that would be issuable on conversion of the convertible note, with an exercise price of 105% of the conversion price on the note, be issued if later-agreed contingent conditions are satisfied.</w:t>
      </w:r>
    </w:p>
    <w:p>
      <w:pPr>
        <w:spacing w:after="0" w:line="12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October 30, 2025, the Special Committee and representatives of DLA Piper met to discuss the purpose of the Special Committee, Archenia’s proposed deal terms, the strategic rationale for the potential transaction, the desired assets and liabilities of the Business, related accounting considerations, the benefits of retaining a financial advisor to render a fairness opinion, the due diligence process, the anticipated timeline for responding to the proposal and potentially proceeding with a transaction, and related matters.</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30, 2025, representatives of DLA Piper conferred with Francis Feeney, the Chief Operating Officer and Chief Legal Officer of the Company, regarding the proposed transaction, the possibility of retaining a financial advisor, the need for due diligence, and the anticipated timing for announcing a potential transaction.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November 3, 2025, the Special Committee and representatives of DLA Piper met to discuss the response to the proposal and terms to negotiate with the Sellers, including the draft agreement in principle for the potential transaction (the “</w:t>
      </w:r>
      <w:r>
        <w:rPr>
          <w:rFonts w:ascii="Times New Roman" w:cs="Times New Roman" w:eastAsia="Times New Roman" w:hAnsi="Times New Roman"/>
          <w:sz w:val="18"/>
          <w:szCs w:val="18"/>
          <w:u w:val="single" w:color="auto"/>
          <w:color w:val="auto"/>
        </w:rPr>
        <w:t>AIP</w:t>
      </w:r>
      <w:r>
        <w:rPr>
          <w:rFonts w:ascii="Times New Roman" w:cs="Times New Roman" w:eastAsia="Times New Roman" w:hAnsi="Times New Roman"/>
          <w:sz w:val="18"/>
          <w:szCs w:val="18"/>
          <w:color w:val="auto"/>
        </w:rPr>
        <w:t>”) circulated in connection with the meeting. The AIP proposed that the consideration would consist of convertible promissory notes and an earnout, with no warrant coverage. The notes would bear interest at 6%, be payable on the 12-, 18- and 24-month anniversaries of closing, and have a conversion price equal to the 30-day volume-weighted average price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immediately preceding the definitive agreement. The earnout thresholds would be determined after financial diligence and paid for a performance period of 24 months following the closing, during which Marchex would have sole and absolute discretion over the Business. The Parties would agree to commence negotiating a definitive purchase agreement as soon as reasonably practicable. The parties would not enter into a definitive agreement until the Company has received Archenia’s audited financial statements, completed satisfactory due diligence, and received a fairness opinion by a financial advisor selected by the Special Committee. Approval of the Company’s stockholders, including a majority of disinterested stockholders, would be a closing condition, among others. The Company would also have exclusivity over Archenia during the term of the AIP.</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Later that day, representatives of DLA Piper sent the AIP to the Sellers and Mr. Feeney.</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November 5, 2025, Mr. Feeney sent to representatives of DLA Piper the Sellers’ comments to AIP. The Sellers proposed measuring the note conversion price as a 30-day VWAP from the announcement date, splitting the 24-month earnout performance period into two 12-month periods as to each of which Sellers could earn 2 million shares, and requiring the Company to promptly engage a financial advisor.</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Later that day, Mr. Feeney relayed by phone call to representatives of DLA Piper the Sellers’ rationale for why the proposed transaction would be helpful to the Company and for Seller’s revisions to the AIP.</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November 6, 2025, the Special Committee and representatives of DLA Piper met to discuss the Sellers comments to the AIP, including the simplified consideration structure, valuation implied by the total consideration, implied revenue multiple based on the preliminary financial information provided in diligence. The Special Committee instructed DLA Piper to respond to the Sellers with a $10 million principal amount on the note and to ensure sufficient time to engage a financial advisor.</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7, 2025, representatives of DLA Piper sent the revised AIP to the Sellers and Mr. Feeney.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November 7, 2025 through November 13, 2025, the parties made clarifying edits to finalize the AIP.</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November 13, 2025, the Special Committee and representatives of DLA Piper met to discuss the final AIP and to discuss the communications plan regarding the AIP. The Special Committee approved the AIP. Shortly after the meeting, the parties executed the AIP.</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Later that day, the Company announced the AIP in a Form 8-K filed with the SEC. The Company also announced its earnings for the third quarter of 2025 and filed its Form 10-Q with the SEC the next day.</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Over the next several weeks, financial, business, and legal diligence proceeded, and members of the Special Committee met with potential financial advisors. The parties also discussed the timing of Archenia’s audit, recognizing that full year 2025 financial statements would be required and that several months would likely be needed to complete the audit.</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December 5, 2025, the Special Committee engaged Craig-Hallum as its financial advisor, to render a fairness opinion regarding the transaction.</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4, 2026, Mr. Feeney and representatives of DLA Piper had a call to discuss the status of the Archenia audit and the transaction timeline.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11, 2026, representatives of Craig-Hallum, DLA Piper and management of Marchex (which did not include Sellers) met to discuss financial diligence necessary for the fairness opinion.</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24, 2026, Mr. Feeney and representatives of DLA Piper had a call to discuss the status of the Archenia audit and the transaction timeline.</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March 25, 2026, the Company announced its earnings for 2025 and filed its Form 10-K with the SEC the next day.</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6, 2026, Mr. Feeney and representatives of DLA Piper conferred regarding the status of the Archenia audit and the transaction timeline, including the timing for distribution of a draft Stock Purchase Agreement and form of Note.</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7, 2026, representatives of Craig-Hallum and DLA Piper conferred regarding the financial projections, related financial diligence, and the need for information to flow to the Special Committee.</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8, 2026, the Special Committee met with representatives of DLA Piper to review the terms of the draft Stock Purchase Agreement and Note. The Special Committee also discussed the transaction timeline, status of diligence, and status of the fairness opinion. The Special Committee instructed DLA Piper to distribute the drafts of Transaction Documents to the Sellers.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9, 2026, representatives of DLA Piper sent drafts of the Transaction Documents to Mr. Feeney to relay to the Sellers. DLA Piper also requested additional diligence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April 22, 2026, Mr. Feeney sent to representatives of DLA Piper the Sellers’ comments to the draft Stock Purchase Agreement. Among other changes, the Sellers proposed eliminating price adjustments for indebtedness and transaction expenses, reduced the survival period for the Sellers’ representations and warranties from 15 to 12 months, added a 1% deductible to the Company’s indemnification rights, simplified the procedures for claiming indemnification, required the Company to pay for Archenia’s 2025 audit, and requested that a portion of the earnout consideration be paid in cash to cover tax obligations, registration rights and acceleration of payments on a change of control.</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April 23, 2026, Mr. Feeney sent to representatives of DLA Piper supplemental revisions from the Sellers regarding the earnout consideration, including that each year have both a financial performance milestone, measured at 90% of either Archenia’s 2025 revenue or its adjusted EBITDA, and an operational milestone, based on either the integration of Archenia’s software into the Company’s platform or the Company retaining 75% of Archenia’s customers. Later that day, Mr. Feeney and representatives of DLA Piper held a call on which he relayed the Sellers’ rationale for their requested changes.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April 27, 2026, the Special Committee met with representatives of DLA Piper and Craig-Hallum, as well as Brian Nagle, Chief Financial Officer of the Company, and Nikolai Lesnikov, Senior Director &amp; Deputy General Counsel of the Company, to discuss the status of diligence. Messrs. Nagle and Lesnikov each confirmed his work had been independent of and at arms-length with Sellers. Mr. Nagle summarized the status of Archenia’s audit and various financial diligence matters, including Archenia’s debt, and confirmed that the projections developed by management based on information from Archenia, and other inputs provided in connection with the fairness opinion seemed reasonable. Mr. Lesnikov summarized legal and business diligence, including Archenia’s major contracts, intellectual property matters, and litigation matters. Representatives of Craig-Hallum confirmed to the Special Committee they had received the information they need to deliver their fairness opinion. Representatives of DLA Piper then summarized the Sellers’ proposed revisions to and requests regarding the draft Transaction Documents. The Special Committee instructed DLA Piper to increase the financial performance milestones for the earnout to 110%, to require that both of the financial performance milestones and both of the operational milestones be met for the earnout, to provide that 25% of the earnout may be paid in cash, to accelerate the financial performance milestones for the earnout upon a change of control, and to require Archenia to pay for its audit.</w:t>
      </w:r>
    </w:p>
    <w:p>
      <w:pPr>
        <w:spacing w:after="0" w:line="11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Later that day, representatives of DLA Piper sent drafts of the Transaction Documents to Mr. Feeney to relay to the Sellers.</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1, 2026, Mr. Feeney sent to representatives of DLA Piper the Sellers’ comments to the draft Stock Purchase Agreement, which mainly proposed either of the financial performance milestones and either of the operational milestones be met for the earnout consideration, and that the financial performance milestones be measured at 100% of either Archenia’s 2025 revenue or its adjusted EBITDA.</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3, 2026, Mr. Feeney sent to representatives of DLA Piper the Sellers’ minor technical comments to the draft Note.</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4, 2026, the Special Committee met with representatives of DLA Piper to discuss the status of the draft Transaction Documents. The Special Committee approved the Transaction Documents and confirmed it is prepared to sign them upon receiving the fairness opinion from Craig-Hallum and Archenia’s audited financial statements.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From May 5, 2026 to May 7, 2026, representatives of DLA Piper and Mr. Feeney, on behalf of the Sellers, exchanged minor changes to finalize the Transaction Documents, discuss the timing of the Archenia audit, and confirm various diligence matters.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May 8, 2026, Archenia delivered to the Company its 2025 financial statements, audited by its independent auditors.</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Later that day, the Special Committee met to consider and approve the Transaction Documents and the Transaction. Supporting materials were circulated prior to the meetings, including the substantially final version of the Transaction Documents and Craig-Hallum’s financial analyses relating to Business and a draft of its opinion as to the fairness, from a financial point of view, to the Company of the consideration to be paid by the Company for the Business. At the Special Committee meeting, representatives of DLA Piper summarized the terms of the Transaction Documents. Craig-Hallum confirmed that it was prepared to deliver its fairness opinion. Following discussion, the Special Committee approved the Transaction and the Transaction Documents, recommended that the Board do the same, and directed counsel to circulate a written consent of the Special Committee to formalize such approvals. Recognizing that</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Special Committee comprised a majority of the Board and that other two members of the Board are Sellers who must recuse themselves from deliberations regarding the Transaction, a meeting of the Board was then convened. At the Board’s request, Craig-Hallum reviewed and discussed its financial analyses with respect to the Business and the proposed Transaction. Thereafter, at the request of the Board, Craig-Hallum orally delivered its opinion to the Board (which was subsequently confirmed in writing by delivery of Craig-Hallum’s written opinion addressed to the Board, dated May 8, 2026), as to the fairness, from a financial point of view, to the Company of the consideration to be paid by the Company for the Business. Following discussion, the Board approved the Transaction and the Transaction Documents. The Board directed counsel to circulate a written consent of the Board to formalize such approvals.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Later that day, the Company and Sellers finalized and then executed the Stock Purchase Agreement.</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May 12, 2026, the Company announced the Transaction and the execution of the Transaction Documents in a Form 8-K filed with the SEC. The Company announced its earnings for the first quarter of 2026 the next day, and the following day filed its Form 10-Q with the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Transaction and Recommendation of Our Board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reaching its decision to approve the Stock Purchase Agreement and the Transaction, and to recommend that our stockholders vote to approve the Stock Purchase Proposal, the Board consulted with management and outside financial and legal advisors. The Board considered a wide range of factors relating to the Stock Purchase Agreement and the proposed Transaction, many of which the Board believed supported its decision, including the following:</w:t>
      </w:r>
    </w:p>
    <w:p>
      <w:pPr>
        <w:spacing w:after="0" w:line="116" w:lineRule="exact"/>
        <w:rPr>
          <w:sz w:val="20"/>
          <w:szCs w:val="20"/>
          <w:color w:val="auto"/>
        </w:rPr>
      </w:pPr>
    </w:p>
    <w:p>
      <w:pPr>
        <w:jc w:val="both"/>
        <w:ind w:left="1320" w:right="47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determination that it was in the best interests of the Company and its stockholders to purchase the Business given its significant customer base and revenue opportunities, and to expand the Company’s operations and improve efficiency in its other product lines;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Committee’s negotiation of, and unanimous approval of the Transaction, the Stock Purchase Agreement and the Related Agreements and its recommendation that the Board approve and adopt the same;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retain or generate revenue from Archenia’s existing customer base and pursue revenue and adjusted EBITDA growth from the acquired business following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reviewed by Craig-Hallum with the Board as well as the oral opinion of Craig-Hallum rendered to the Board on May 8, 2026 (which was subsequently confirmed in writing by delivery of Craig-Hallum’s written opinion addressed to the Board dated May 8, 2026), as to, as of such date, the fairness, from a financial point of view, to the stockholders of the Company of the consideration to be paid by the Company in exchange for the Business pursuant to the Stock Purchase Agreement;</w:t>
      </w:r>
    </w:p>
    <w:p>
      <w:pPr>
        <w:spacing w:after="0" w:line="119"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time to close the Transaction;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if we did not accept Sellers’ offer at the time that we did, the Board might not have had another opportunity to do so;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will be subject to the approval of both (a) stockholders representing a majority of the voting power of all issued and outstanding Class A common stock and Class B common stock entitled to vote at the Special Meeting (treated as a single class) and (b) stockholders representing a majority of the voting power of all issued and outstanding Class A common stock and Class B common stock entitled to vote at the Special Meeting (treated as a single class), </w:t>
      </w:r>
      <w:r>
        <w:rPr>
          <w:rFonts w:ascii="Times New Roman" w:cs="Times New Roman" w:eastAsia="Times New Roman" w:hAnsi="Times New Roman"/>
          <w:sz w:val="18"/>
          <w:szCs w:val="18"/>
          <w:i w:val="1"/>
          <w:iCs w:val="1"/>
          <w:color w:val="auto"/>
        </w:rPr>
        <w:t>disregarding</w:t>
      </w:r>
      <w:r>
        <w:rPr>
          <w:rFonts w:ascii="Times New Roman" w:cs="Times New Roman" w:eastAsia="Times New Roman" w:hAnsi="Times New Roman"/>
          <w:sz w:val="18"/>
          <w:szCs w:val="18"/>
          <w:color w:val="auto"/>
        </w:rPr>
        <w:t xml:space="preserve"> stock owned by Russell C. Horowitz and Michael Arends;</w:t>
      </w:r>
    </w:p>
    <w:p>
      <w:pPr>
        <w:spacing w:after="0" w:line="119"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own the Business and potentially benefit from its future performance;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Stock Purchase Agreement were negotiated at arms-length and believed by our Board to be fair to us and our stockholders.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Our Board also considered and balanced against the potential benefits of the Transaction a number of potentially adverse factors concerning the Transaction, including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certain of our executive officers in the Transaction, which may be different from, or in addition to, the interests of our stockholders generally, including the potential for future conflicts in connection with the Earn-out Consideration;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all conditions to the parties’ obligations to complete the Transaction may not be satisfied or waived, and as a result, it is possible that the Transaction could be delayed or might not be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to the Company if the Transaction does not close, including the diversion of management and employee attention, potential employee attrition and the potential effect on business and customer relationships;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disruption to our business and customer reaction as a result of the public announcement of the Transaction;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accompanies being a public company with relatively low revenues while we continue to try to grow our other areas of business without the potential income associated with the Business.</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foregoing discussion of the factors considered by our Board is not intended to be exhaustive, but it does set forth the principal factors considered by the Board. The Board collectively reached the conclusion to approve the Transaction and the Transaction Documents in light of the various factors described above, as well as other factors that the Board felt were appropriate. In view of the wide variety of factors considered by the Board in connection with its evaluation of the Transaction and the complexity of these matters, the Board did not consider it practical, and did not attempt, to quantify, rank or otherwise assign relative weights to the specific factors it considered in reaching its decision. Rather, the Board made its recommendation based on the totality of the information presented to, and the investigation conducted by, the Board. In considering the factors discussed above, individual directors may have given different weights to different factors.</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After evaluating these factors and consulting with its outside legal counsel and financial advisor, all members of the Board approved Transaction and the Transaction Documents and determined that the Transaction is advisable, fair to and in the best interests of the Company and our stockholders.</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Accordingly, our Board (in reliance on the recommendation from the Special Committee) recommends that stockholders vote “FOR” the Stock Purchase Proposal.</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Financial Projections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a closely held private company, Archenia does not prepare projections as a matter of course. However, as part of its diligence exercise, the Company required Archenia to prepare financial projections. Members of management of the Company, who were independent of and at arms-length with Sellers, carefully reviewed and considered these projections and recommended them to the Special Committee, which approved their use for purposes of Craig-Hallum’s fairness opinion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Projections are set forth below in order to provide to stockholders a summary of certain nonpublic, unaudited prospective financial information about Archenia known to the Sellers, the Special Committee, the Board, and Craig-Hallum. The Projections were not prepared with a view toward public disclosure and, accordingly, do not necessarily comply with published guidelines of the SEC or established by the American Institute of Certified Public Accountants for preparation and presentation of prospective financial information or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The Projections are not included in this proxy statement to influence a Company stockholder’s decision whether to vote to approve the Transaction or for any other purpose. The Projections have not been audited, reviewed, or otherwise had procedures performed on them by any independent registered public accounting firm.</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Projections summarized below, while presented with numerical specificity, were based on numerous variables and assumptions that necessarily involve judgments with respect to, among other things, future economic, competitive, regulatory and financial market conditions, all of which are difficult or impossible to predict and many of which are beyond Archenia’s or the Company’s control. The Projections also reflect assumptions that are subject to change, including assumptions regarding: demand for Archenia’s products; growth rates; new customer acquisition; expansion of existing customer relationships; renewal rates; market share; market size and conditions; products and product mix;</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operating expenses; margins; capital expenditures; and net working capital. The Projections cover multiple years and thus, by their nature, become subject to greater uncertainty with each successive year. Important factors may affect Archenia’s actual results and the achievability of the Projections. See also the section of this proxy statement 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Projections reflect assumptions that are subject to change and are susceptible to multiple interpretations based on actual results, revised prospects for the Business, changes in general business or economic conditions, or any other transaction or event that has occurred or that may occur and that was not anticipated when the Projections were prepared. Accordingly, actual results will differ, and may differ materially, from those contained in the Projections. The Projections assume organic Business growth without expansions from mergers and acquisitions or alternative business or licensing models. In addition, the Projections do not take into account any circumstances, transactions or events occurring after the date on which the Projections were prepared and do not give effect to any changes or expenses incurred after the date on which they were made, including as a result of the Transaction. Except as required by law, the Company does not intend to, and undertakes no obligation to, update or otherwise revise or reconcile the Projections to reflect circumstances existing after the date on which the Projections were prepared or to reflect the occurrence of future events, even in the event that any or all of the underlying assumptions are shown to be in error.</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Projections include EBITDA, NOPAT, and unlevered free cash flow, which are financial measures that are not calculated in accordance with GAAP. Such non-GAAP financial measures should not be viewed as a substitute for GAAP financial measures and may be different from non-GAAP financial measures used by other companies. Furthermore, there are limitations inherent in non-GAAP financial measures, because they exclude charges, credits and other amounts that are required to be included in a GAAP presentation. Accordingly, non-GAAP financial measures should be considered together with, and not as an alternative to, financial measures prepared in accordance with GAAP. Financial measures provided to a financial advisor are excluded from the definition of non-GAAP financial measures, and therefore not subject to SEC rules regarding disclosures of non-GAAP financial measures, if the measures are included in forecasts provided to the financial advisor for the purpose of rendering a fairness opinion regarding the transaction, and the forecasts are being disclosed in order to provide material information regarding disclosure of the financial advisor’s analyses or substantive work. Reconciliations of non-GAAP financial measures were not prepared or relied upon by the Board in connection with their consideration of the Transaction or by Craig-Hallum for purposes of its financial analyses. Accordingly, the Company has not provided a reconciliation of any financial measures included in the Projections.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Projections are set forth in the following table:</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2025A</w:t>
            </w: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2029E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2030E</w:t>
            </w:r>
          </w:p>
        </w:tc>
        <w:tc>
          <w:tcPr>
            <w:tcW w:w="0" w:type="dxa"/>
            <w:vAlign w:val="bottom"/>
          </w:tcPr>
          <w:p>
            <w:pPr>
              <w:spacing w:after="0"/>
              <w:rPr>
                <w:sz w:val="1"/>
                <w:szCs w:val="1"/>
                <w:color w:val="auto"/>
              </w:rPr>
            </w:pPr>
          </w:p>
        </w:tc>
      </w:tr>
      <w:tr>
        <w:trPr>
          <w:trHeight w:val="47"/>
        </w:trPr>
        <w:tc>
          <w:tcPr>
            <w:tcW w:w="2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22,014</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31,680</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38,016</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12,367</w:t>
            </w:r>
          </w:p>
        </w:tc>
        <w:tc>
          <w:tcPr>
            <w:tcW w:w="1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15,257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18,216</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31,933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&amp; Benefits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G&amp;A</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5,368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392</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2,534</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3,384</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4,428</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6,037</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Add Back Depreciation</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w:t>
            </w: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2,598</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3,464</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4,508</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6,117</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periods 2027E – 2030E, Marchex management provided total operating expenses (without component items) for practical expedience.</w:t>
      </w:r>
    </w:p>
    <w:p>
      <w:pPr>
        <w:jc w:val="both"/>
        <w:ind w:left="880" w:right="479" w:hanging="426"/>
        <w:spacing w:after="0" w:line="276"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“EBITDA” refers to earnings before interest, taxes, depreciation, amortization, and any stock-based compensation and one-time non-recurring items. Marchex management’s projections assume no amortization expense, stock-based compensation, and one-time non-recurring items.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8"/>
              </w:rPr>
              <w:t>Apr-Dec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2026E</w:t>
            </w:r>
            <w:r>
              <w:rPr>
                <w:rFonts w:ascii="Times New Roman" w:cs="Times New Roman" w:eastAsia="Times New Roman" w:hAnsi="Times New Roman"/>
                <w:sz w:val="18"/>
                <w:szCs w:val="18"/>
                <w:b w:val="1"/>
                <w:bCs w:val="1"/>
                <w:color w:val="auto"/>
                <w:vertAlign w:val="superscript"/>
              </w:rPr>
              <w:t>(5)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2029E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2030E</w:t>
            </w:r>
          </w:p>
        </w:tc>
        <w:tc>
          <w:tcPr>
            <w:tcW w:w="0" w:type="dxa"/>
            <w:vAlign w:val="bottom"/>
          </w:tcPr>
          <w:p>
            <w:pPr>
              <w:spacing w:after="0"/>
              <w:rPr>
                <w:sz w:val="1"/>
                <w:szCs w:val="1"/>
                <w:color w:val="auto"/>
              </w:rPr>
            </w:pPr>
          </w:p>
        </w:tc>
      </w:tr>
      <w:tr>
        <w:trPr>
          <w:trHeight w:val="268"/>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63"/>
        </w:trPr>
        <w:tc>
          <w:tcPr>
            <w:tcW w:w="3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Taxes @ 25.3%</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1"/>
              </w:rPr>
              <w:t>(0.6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NOPAT</w:t>
            </w:r>
            <w:r>
              <w:rPr>
                <w:rFonts w:ascii="Times New Roman" w:cs="Times New Roman" w:eastAsia="Times New Roman" w:hAnsi="Times New Roman"/>
                <w:sz w:val="20"/>
                <w:szCs w:val="20"/>
                <w:b w:val="1"/>
                <w:bCs w:val="1"/>
                <w:color w:val="auto"/>
                <w:vertAlign w:val="superscript"/>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1.8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Depreciation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0"/>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Capital Expenditures</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8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Change in Net Working Capital</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2"/>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Assumed federal tax rate of 21%, assumed state tax rate of 4.3%.</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“NOPAT” means net operating profit after taxes.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Marchex management expects no material capital expenditures associated with Archenia.</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Marchex management’s estimate of 7.5% of revenue growth year over year.</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actual amounts were provided by Archenia for the first quarter of 2026 and, accordingly, the 2026E period reflects estimates for April — December 2026 only.</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inclusion of the above tables and the accompanying discussion should not be regarded as an indication that the Company or any of its affiliates, officers, directors, advisors or other representatives consider the Projections to be necessarily predictive of actual future events, and this information should not be relied upon as such. The Projections were based upon certain financial, operating and commercial assumptions developed solely using the information available to the Company’s management at the time the Projections were created. Actual results may differ materially from those contained in the Projections and, except as required by law, the Company undertakes no obligation to update or otherwise revise or reconcile the Projections for any reason.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In light of the foregoing factors and the uncertainties inherent in the Projections, the Company’s stockholders are cautioned not to place undue, if any, reliance on such Projections.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Company</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an engagement letter, dated December 5, 2025, the Special Committee retained Craig-Hallum to render an opinion to the Special Committee as to the fairness, from a financial point of view, to the Company stockholders of the amount to be paid by the Company for the Business.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8, 2026, Craig-Hallum rendered its oral opinion, subsequently confirmed in writing, to the Special Committee that, as of such date, and based upon and subject to the various assumptions made, procedures followed, matters considered and qualifications and limitations set forth in the opinion, the Consideration to be paid by the Company in the Transaction pursuant to the Stock Purchase Agreement is fair, from a financial point of view, to the Company stockholders.</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Stock Purchase Agreement provides that the Company will acquire the Business from the Sellers in exchange for promissory notes to be issued by the Company to the Sellers (the “</w:t>
      </w:r>
      <w:r>
        <w:rPr>
          <w:rFonts w:ascii="Times New Roman" w:cs="Times New Roman" w:eastAsia="Times New Roman" w:hAnsi="Times New Roman"/>
          <w:sz w:val="18"/>
          <w:szCs w:val="18"/>
          <w:u w:val="single" w:color="auto"/>
          <w:color w:val="auto"/>
        </w:rPr>
        <w:t>Company Notes</w:t>
      </w:r>
      <w:r>
        <w:rPr>
          <w:rFonts w:ascii="Times New Roman" w:cs="Times New Roman" w:eastAsia="Times New Roman" w:hAnsi="Times New Roman"/>
          <w:sz w:val="18"/>
          <w:szCs w:val="18"/>
          <w:color w:val="auto"/>
        </w:rPr>
        <w:t>”) and certain shares of Class B Common Stock that may be issued to the Sellers if the Archenia business meets certain performance targets after the completion of the Transaction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For purposes of its opinion, and with the consent of the Special Committee, Craig-Hallum deemed the value of the consideration payable by the Company under the Stock Purchase Agreement to be an amount equal to $16,520,000 (the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comprised of (i) the aggregate $10,000,000 principal amount of the Company Notes, plus (ii) an aggregate value of $6,520,000 of Earnout Shares, which amount is determined based on the maximum number of Earnout Shares that may be issued under the Stock Purchase Agreement multiplied by a value per share of Common Stock of $1.63, which was the volume-weighted average price of the Class B Common Stock trading on Nasdaq during the 30 day period ending on May 7, 2026. Without limiting the generality of the foregoing, with the consent of the Committee, Craig-Hallum’s analysis of the Consideration did not address (and, for purposes of the opinion, the term Consideration does not include) any other terms of the Company Notes, including interest to be paid under the Company Notes, the value of any shares of Class B Common Stock that may be issued upon conversion of principal and interest under the Company Notes, or the amounts that may be payable by the Company if any event of default were to occur with respect to the Company Notes.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purposes of Craig-Hallum’s opinion and analyses, the term EBITDA refers to earnings before interest, taxes, depreciation, amortization, and, as applicable, any stock-based compensation and one-time non-recurring items.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The full text of Craig-Hallum’s written opinion, dated May 8, 2026, is attached to this proxy statement as </w:t>
      </w:r>
      <w:r>
        <w:rPr>
          <w:rFonts w:ascii="Times New Roman" w:cs="Times New Roman" w:eastAsia="Times New Roman" w:hAnsi="Times New Roman"/>
          <w:sz w:val="18"/>
          <w:szCs w:val="18"/>
          <w:b w:val="1"/>
          <w:bCs w:val="1"/>
          <w:u w:val="single" w:color="auto"/>
          <w:color w:val="auto"/>
        </w:rPr>
        <w:t>Annex B</w:t>
      </w:r>
      <w:r>
        <w:rPr>
          <w:rFonts w:ascii="Times New Roman" w:cs="Times New Roman" w:eastAsia="Times New Roman" w:hAnsi="Times New Roman"/>
          <w:sz w:val="18"/>
          <w:szCs w:val="18"/>
          <w:b w:val="1"/>
          <w:bCs w:val="1"/>
          <w:color w:val="auto"/>
        </w:rPr>
        <w:t xml:space="preserve"> and is incorporated by reference herein. Company Stockholders are urged to read the entire opinion carefully and in its entirety to learn about the assumptions made, procedures followed, matters considered and limitations on the scope of the review undertaken by Craig-Hallum in rendering its opinion. The analysis performed by Craig-Hallum should be viewed in its entirety; none of the methods of analysis should be viewed in isolation when reaching a conclusion on whether the consideration was fair. The opinion addresses only the fairness of the Consideration, from a financial point of view, to the Company Stockholders, as of the date of the opinion, and does not address the merits of the Company’s underlying business decision to proceed with or effect the Transaction. Craig-Hallum expressed no opinion or recommendation to the Special Committee whether the Company should proceed with the Transaction. Craig-Hallum’s opinion was directed to the Special Committee in connection with its consideration of the Transaction and was not intended to be, and does not constitute, a recommendation to any Stockholder as to how such stockholder should vote with respect to the Transaction or any other matter.</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its opinion, Craig-Hallum:</w:t>
      </w:r>
    </w:p>
    <w:p>
      <w:pPr>
        <w:spacing w:after="0" w:line="144" w:lineRule="exact"/>
        <w:rPr>
          <w:sz w:val="20"/>
          <w:szCs w:val="20"/>
          <w:color w:val="auto"/>
        </w:rPr>
      </w:pPr>
    </w:p>
    <w:p>
      <w:pPr>
        <w:ind w:left="1320" w:right="459" w:hanging="434"/>
        <w:spacing w:after="0" w:line="282"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terms of a draft of the Stock Purchase Agreement dated May 1, 2026, and the form of promissory note attached thereto;</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historical financial, operating and business information related to Archenia;</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internal financial projections of Archenia prepared for financial planning purposes by management of the Company and authorized for our use by management of the Company;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information relative to Archenia;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historical financial, operating, and market data of Archenia publicly available or furnished by management of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management of the Company with respect to the business and prospects of Archenia, including the operation of Archenia’s business by the Company following completion of the Transaction;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Archenia with that of certain other publicly traded companies deemed by us to be comparable to Archenia;</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publicly available, reviewed and analyzed financial terms of certain acquisition transactions involving companies operating in businesses and industries deemed similar to that in which Archenia operates and selected companies deemed comparable to Archenia;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of Archenia on a stand-alone basis incorporating various assumptions provided to us, and authorized for our use, by management of the Company;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examinations and inquiries and considered such other financial, economic and market criteria as Craig-Hallum deemed necessary and appropriate in arriving at our opinion.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purposes of rendering its opinion, Craig-Hallum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advised Craig-Hallum, and at the Company’s direction Craig-Hallum assumed, that the financial projections for Archenia reviewed by Craig-Hallum were reasonably prepared in good faith on bases reflecting the best currently available estimates and judgments of the management of the Company as to the future financial results and condition of the Business following the Transaction, and Craig-Hallum expressed no opinion with respect to such projections or the assumptions on which they are based. If any of the foregoing assumptions were not accurate, the conclusion set forth in Craig-Hallum opinion could be materially affected. Neither the Company nor Archenia publicly</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disclose internal financial information of the type provided to Craig-Hallum in connection with our review of the Transaction. As a result, such information was prepared for financial planning and transaction analysis purposes by management of the Company and Archenia, as applicable, and was not prepared with the expectation of public disclosure.</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its opinion, Craig-Hallum assumed and relied upon, without independent verification, the accuracy and completeness of all of the financial, legal, regulatory, tax, accounting and other information provided to, discussed with or reviewed by Craig-Hallum. Craig-Hallum’s opinion did not address any legal, regulatory, tax or accounting issues.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arriving at its opinion, Craig-Hallum assumed that the executed Stock Purchase Agreement and form of promissory note (collectively, the “</w:t>
      </w:r>
      <w:r>
        <w:rPr>
          <w:rFonts w:ascii="Times New Roman" w:cs="Times New Roman" w:eastAsia="Times New Roman" w:hAnsi="Times New Roman"/>
          <w:sz w:val="18"/>
          <w:szCs w:val="18"/>
          <w:u w:val="single" w:color="auto"/>
          <w:color w:val="auto"/>
        </w:rPr>
        <w:t>Stock Purchase Agreements</w:t>
      </w:r>
      <w:r>
        <w:rPr>
          <w:rFonts w:ascii="Times New Roman" w:cs="Times New Roman" w:eastAsia="Times New Roman" w:hAnsi="Times New Roman"/>
          <w:sz w:val="18"/>
          <w:szCs w:val="18"/>
          <w:color w:val="auto"/>
        </w:rPr>
        <w:t>”) would be in all material respects identical to the drafts of the Stock Purchase Agreements reviewed by Craig-Hallum. In arriving at its opinion, Craig-Hallum did not perform any appraisals or valuations of any specific assets or liabilities (fixed, contingent or other) of Archenia, including, without limitation, any intellectual property for which Archenia may or may not currently receive royalty or licensing fees, and Craig-Hallum was not furnished with any such appraisals or valuations, and Craig-Hallum made no physical inspection of the property or assets of Archenia. Craig-Hallum expressed no opinion regarding the liquidation value of Archenia or any other entity.</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Craig-Hallum’s opinion was necessarily based upon the financial, market, economic and other conditions that exist on, and the information made available to Craig-Hallum as of, the date of its opinion. Subsequent developments may affect the facts underlying Craig-Hallum’s opinion and the conclusions or opinions that would have been drawn from such facts, and Craig-Hallum disclaims any undertaking or obligation to advise any person of any change in any fact or matter affecting its opinion, which may come or be brought to Craig-Hallum’s attention after the date of the opinion. Craig-Hallum did not express any opinion as to the price at which shares of the Company’s Class B Common Stock has traded or will trade following announcement of the Transaction or at any future time. Craig-Hallum did not undertake to reaffirm or revise its opinion or otherwise comment upon any events occurring after the date of the opinion and does not have any obligation to update, revise or reaffirm its opinion.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Material Financial Analysis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analysis performed by Craig-Hallum and reviewed by the Special Committee in connection with Craig-Hallum’s opinion relating to the Transaction and does not purport to be a complete description of the financial analyses performed by Craig-Hallum. The rendering of an opinion is a complex analytic process involving various determinations as to the most appropriate and relevant methods of financial analysis and the application of those methods to the particular circumstances. Therefore, this summary does not purport to be a complete description of the analyses performed by Craig-Hallum or of its presentation to the Special Committee on May 8, 2026. Some of the summaries of the financial analyses include information presented in tabular format. In arriving at its opinion, Craig-Hallum did not attribute any particular weight to any individual analysis or factor considered by Craig-Hallum, but rather made qualitative judgments as to the significance and relevance of each analysis and factor. Several analytical methodologies were employed by Craig-Hallum in its analyses, and no one method of analysis should be regarded as critical to the overall conclusion reached in rendering the opinion. Each analytical technique has inherent strengths and weaknesses, and the nature of the available information may further affect the value of particular techniques.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fully understand Craig-Hallum’s financial analysis, the tables below must be read together with the text of each summary, as the tables alone do not constitute a complete description of the financial analysis. Considering the data below without considering the full narrative description of the financial analysis, including the methodology and assumptions underlying the analysis, could create a misleading or incomplete view of Craig-Hallum’s financial analysis. In performing its analysis, Craig-Hallum made numerous assumptions with respect to industry performance, general business and economic conditions and other matters, many of which are beyond the control of the Company, Archenia, or any other parties to the Stock Purchase Agreements. Craig-Hallum does not assume any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Analysis of Comparable Publicly Traded Companies</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Craig-Hallum reviewed and compared certain publicly available financial data, ratios, and trading multiples for nine comparable publicly traded companies that Craig-Hallum determined, based on its professional judgment, to be reasonably comparable to the Company. The comparable publicly traded companies Craig-Hallum selected were Criteo S.A., LiveRamp Holdings, Inc., Magnite, Inc., MNTN, Inc., Nexxen International Ltd., Perion Network Ltd., PubMatic, Inc., Teads Holding Co., TechTarget, Inc., Viant Technology, Inc., Yelp, Inc., and Zeta Global Holdings Corp. Although none of the selected publicly traded companies is directly comparable to the Company, Craig-Hallum reviewed these companies because, among other things, Craig-Hallum determined that their business, financial information, service offerings, and operating profiles are reasonably comparable to those of the Company for purposes of this analysis. In selecting comparable public companies, Craig-Hallum identified whose primary industry classification was application software, advertising, or marketing automation software with market capitalization below $5 billion and that Craig-Hallum deemed in its professional opinion to be comparable to Archenia, including companies providing performance-based advertising and data-driven solutions. Financial data of the selected companies was based on publicly available information such as public filings and third-party equity research reports. Craig-Hallum reviewed data, including stock price, market capitalization, total revenue, enterprise value-to-revenue multiples, EBITDA, and enterprise value-to-EBITDA multiples based on last 12-month results, actual calendar year 2025 results, and expected calendar year 2026 results, for each of the selected publicly traded companies. The multiples for each of the selected companies were calculated using their respective closing prices on May 7, 2026 and were based on the most recent publicly available information and information collected from S&amp;P Capital IQ.</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reflects the results of the comparable public company analysis: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25</w:t>
            </w:r>
            <w:r>
              <w:rPr>
                <w:rFonts w:ascii="Times New Roman" w:cs="Times New Roman" w:eastAsia="Times New Roman" w:hAnsi="Times New Roman"/>
                <w:sz w:val="18"/>
                <w:szCs w:val="18"/>
                <w:b w:val="1"/>
                <w:bCs w:val="1"/>
                <w:color w:val="auto"/>
                <w:vertAlign w:val="superscript"/>
              </w:rPr>
              <w:t>th</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75</w:t>
            </w:r>
            <w:r>
              <w:rPr>
                <w:rFonts w:ascii="Times New Roman" w:cs="Times New Roman" w:eastAsia="Times New Roman" w:hAnsi="Times New Roman"/>
                <w:sz w:val="18"/>
                <w:szCs w:val="18"/>
                <w:b w:val="1"/>
                <w:bCs w:val="1"/>
                <w:color w:val="auto"/>
                <w:vertAlign w:val="superscript"/>
              </w:rPr>
              <w:t>th</w:t>
            </w:r>
          </w:p>
        </w:tc>
        <w:tc>
          <w:tcPr>
            <w:tcW w:w="104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Percentile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Percentile</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46"/>
        </w:trPr>
        <w:tc>
          <w:tcPr>
            <w:tcW w:w="30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EV/LTM Revenue (Q1 2026)</w:t>
            </w:r>
          </w:p>
        </w:tc>
        <w:tc>
          <w:tcPr>
            <w:tcW w:w="9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0.3x</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0.8x</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1.3x</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2.0x</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3.8x</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EV/2025A Revenue</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0.3x</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0.8x</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3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EV/2026E Revenue</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0.3x</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0.8x</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1.2x</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1.7x</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3.0x</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EV/LTM EBITDA</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1.7x</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5.6x</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8.2x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16.7x</w:t>
            </w:r>
          </w:p>
        </w:tc>
      </w:tr>
      <w:tr>
        <w:trPr>
          <w:trHeight w:val="40"/>
        </w:trPr>
        <w:tc>
          <w:tcPr>
            <w:tcW w:w="3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EV/2025A EBITDA</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1.6x</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5.6x</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9.2x</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10.5x</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18.0x</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EV/2024E EBITDA</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1.6x</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4.2x</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6.0x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11.7x</w:t>
            </w: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analysis indicated the following implied equity value of Archenia (in millions)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25</w:t>
            </w:r>
            <w:r>
              <w:rPr>
                <w:rFonts w:ascii="Times New Roman" w:cs="Times New Roman" w:eastAsia="Times New Roman" w:hAnsi="Times New Roman"/>
                <w:sz w:val="18"/>
                <w:szCs w:val="18"/>
                <w:b w:val="1"/>
                <w:bCs w:val="1"/>
                <w:color w:val="auto"/>
                <w:vertAlign w:val="superscript"/>
              </w:rPr>
              <w:t>th</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75</w:t>
            </w:r>
            <w:r>
              <w:rPr>
                <w:rFonts w:ascii="Times New Roman" w:cs="Times New Roman" w:eastAsia="Times New Roman" w:hAnsi="Times New Roman"/>
                <w:sz w:val="18"/>
                <w:szCs w:val="18"/>
                <w:b w:val="1"/>
                <w:bCs w:val="1"/>
                <w:color w:val="auto"/>
                <w:vertAlign w:val="superscript"/>
              </w:rPr>
              <w:t>th</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Percentile</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Percentile</w:t>
            </w:r>
          </w:p>
        </w:tc>
        <w:tc>
          <w:tcPr>
            <w:tcW w:w="12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47"/>
        </w:trPr>
        <w:tc>
          <w:tcPr>
            <w:tcW w:w="25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EV/LTM Revenue (Q1 2026)</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EV/2025A Revenue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40"/>
        </w:trPr>
        <w:tc>
          <w:tcPr>
            <w:tcW w:w="2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EV/2026E Revenue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EV/2025A EBITDA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0"/>
        </w:trPr>
        <w:tc>
          <w:tcPr>
            <w:tcW w:w="2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EV/2024E EBITDA</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40"/>
        </w:trPr>
        <w:tc>
          <w:tcPr>
            <w:tcW w:w="25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59" w:hanging="426"/>
        <w:spacing w:after="0" w:line="183" w:lineRule="auto"/>
        <w:tabs>
          <w:tab w:leader="none" w:pos="893" w:val="left"/>
        </w:tabs>
        <w:numPr>
          <w:ilvl w:val="0"/>
          <w:numId w:val="2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Craig-Hallum did not analyze the enterprise value-to-LTM EBITDA multiple with respect to the Transaction because Archenia’s LTM EBITDA was negative, which made the analysis not meaningful.</w:t>
      </w:r>
    </w:p>
    <w:p>
      <w:pPr>
        <w:spacing w:after="0" w:line="13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company used in the comparable company analysis is identical to Archenia. In evaluating selected publicly traded companies, Craig-Hallum made judgments and assumptions with regard to industry performance, general business, economic, market and financial conditions and other matters which are beyond the Archenia and the Company’s control, such as the impact of competition on the Archenia and the industry generally, industry growth and the absence of any adverse material change in the Archenia’s financial conditions and prospects or those of the Archenia, Company, or the industry or the financial markets in general following execution of the Stock Purchase Agreement.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Analysis of Comparable Merger and Acquisition (M&amp;A) Transactions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Craig-Hallum performed a precedent transactions analysis, which is designed to imply a value of a company based on publicly available financial terms for selected transactions.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Craig-Hallum reviewed and analyzed certain publicly available transaction valuation metrics that Craig-Hallum determined, based on its professional judgment, were reasonably comparable to the proposed Transaction. Craig-Hallum evaluated LTM revenue and EBITDA (where available) for each transaction and calculated LTM revenue and EBITDA multiples for each precedent transaction for which such information was available.</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Craig-Hallum reviewed and selected 29 precedent transactions based on the following criteria: (i) announced with the past 6 years, (ii) target companies based in the United States, (iii) target companies with a primary industry classification of advertising, application software, and/or research and consulting services, as identified by S&amp;P Capital IQ, and (iv) transaction enterprise values between $10 million and $25 million, as per S&amp;P Capital IQ. For each comparable transaction, implied enterprise value-to-revenue and implied enterprise value-to-EBITDA multiples were excluded where multiples were negative or revenue or EBITDA projections were unavailable at the time of announcement.</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Announcement</w:t>
            </w:r>
          </w:p>
        </w:tc>
        <w:tc>
          <w:tcPr>
            <w:tcW w:w="0" w:type="dxa"/>
            <w:vAlign w:val="bottom"/>
          </w:tcPr>
          <w:p>
            <w:pPr>
              <w:spacing w:after="0"/>
              <w:rPr>
                <w:sz w:val="1"/>
                <w:szCs w:val="1"/>
                <w:color w:val="auto"/>
              </w:rPr>
            </w:pP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Acquirer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9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Capillary PTE. Ltd</w:t>
            </w:r>
          </w:p>
        </w:tc>
        <w:tc>
          <w:tcPr>
            <w:tcW w:w="100" w:type="dxa"/>
            <w:vAlign w:val="bottom"/>
            <w:vMerge w:val="continue"/>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SessionM, Inc.</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February 2026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Pelican Energy Partners LP</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GSE Systems, Inc.</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August 2024</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Persistent Systems,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Starfish Associates,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July 2024</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Enghouse Systems Limited</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Sonic Foundry International</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2024</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Enghouse Systems Limited</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Qumu Corporation</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Ebiquity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Media Management,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Tracsis plc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RailComm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AdvertiseCast, LLC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Podcast Ad Reps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February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Tantalus Systems Inc.</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Congruititive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February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XpresSpa Group,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Gcg Connect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Delinian Limited</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Boardroom Insiders,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2022</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Wipro Limited</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Leanswift Solutions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December 2021</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WaveDancer,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Gray Matters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November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Kingsway America,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Ravix Group,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October 2021</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Strat7 Group Limited</w:t>
            </w:r>
          </w:p>
        </w:tc>
        <w:tc>
          <w:tcPr>
            <w:tcW w:w="31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Incite Marketing Planning Limited</w:t>
            </w: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September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Ionik Corporation</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Q1Media,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August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EverQuote,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Policy Fuel,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July 2021</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Wavestone SA</w:t>
            </w:r>
          </w:p>
        </w:tc>
        <w:tc>
          <w:tcPr>
            <w:tcW w:w="31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Consulting Division of Everest Group</w:t>
            </w: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7"/>
              </w:rPr>
              <w:t>May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Quisitive Technology Solutions,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MazikGlobal Technologies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March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Ideagen Limited</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Qualtrax,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March 2021</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Ryvyl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Charge Savvy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Learning Technologies Group plc</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8"/>
              </w:rPr>
              <w:t>Reflektive,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2021</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Mastech Digital Data, Inc.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AmberLeaf Partners,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October 2020</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Next 15 Group plc</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Mach49,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September 2020</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L&amp;T Technology Services Limited</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Orchestra Technology,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July 2020</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Sapiens International Corporation N.V.</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Delphi Technology,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July 2020</w:t>
            </w:r>
          </w:p>
        </w:tc>
        <w:tc>
          <w:tcPr>
            <w:tcW w:w="0" w:type="dxa"/>
            <w:vAlign w:val="bottom"/>
          </w:tcPr>
          <w:p>
            <w:pPr>
              <w:spacing w:after="0"/>
              <w:rPr>
                <w:sz w:val="1"/>
                <w:szCs w:val="1"/>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ESW Capital, LLC</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BroadVision,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March 2020</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Azenta Us Inc.</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Ruro, Inc.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February 2020</w:t>
            </w:r>
          </w:p>
        </w:tc>
        <w:tc>
          <w:tcPr>
            <w:tcW w:w="0" w:type="dxa"/>
            <w:vAlign w:val="bottom"/>
          </w:tcPr>
          <w:p>
            <w:pPr>
              <w:spacing w:after="0"/>
              <w:rPr>
                <w:sz w:val="1"/>
                <w:szCs w:val="1"/>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Drew Technologies</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AutoEnginuity,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January 2020</w:t>
            </w:r>
          </w:p>
        </w:tc>
        <w:tc>
          <w:tcPr>
            <w:tcW w:w="0" w:type="dxa"/>
            <w:vAlign w:val="bottom"/>
          </w:tcPr>
          <w:p>
            <w:pPr>
              <w:spacing w:after="0"/>
              <w:rPr>
                <w:sz w:val="1"/>
                <w:szCs w:val="1"/>
                <w:color w:val="auto"/>
              </w:rPr>
            </w:pPr>
          </w:p>
        </w:tc>
      </w:tr>
      <w:tr>
        <w:trPr>
          <w:trHeight w:val="473"/>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This analysis indicated the following implied multiples: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89"/>
              </w:rPr>
              <w:t>25</w:t>
            </w:r>
            <w:r>
              <w:rPr>
                <w:rFonts w:ascii="Times New Roman" w:cs="Times New Roman" w:eastAsia="Times New Roman" w:hAnsi="Times New Roman"/>
                <w:sz w:val="18"/>
                <w:szCs w:val="18"/>
                <w:b w:val="1"/>
                <w:bCs w:val="1"/>
                <w:color w:val="auto"/>
                <w:w w:val="89"/>
                <w:vertAlign w:val="superscript"/>
              </w:rPr>
              <w:t>th</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75</w:t>
            </w:r>
            <w:r>
              <w:rPr>
                <w:rFonts w:ascii="Times New Roman" w:cs="Times New Roman" w:eastAsia="Times New Roman" w:hAnsi="Times New Roman"/>
                <w:sz w:val="18"/>
                <w:szCs w:val="18"/>
                <w:b w:val="1"/>
                <w:bCs w:val="1"/>
                <w:color w:val="auto"/>
                <w:vertAlign w:val="superscript"/>
              </w:rPr>
              <w:t>th</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Percentile</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Percentile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46"/>
        </w:trPr>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EV/LTM Revenue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0.3x</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1.1x</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1.6x</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2.9x</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EV/LTM EBITDA</w:t>
            </w:r>
          </w:p>
        </w:tc>
        <w:tc>
          <w:tcPr>
            <w:tcW w:w="100" w:type="dxa"/>
            <w:vAlign w:val="bottom"/>
          </w:tcPr>
          <w:p>
            <w:pPr>
              <w:spacing w:after="0"/>
              <w:rPr>
                <w:sz w:val="21"/>
                <w:szCs w:val="21"/>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0.7x</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7.1x</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10.6x</w:t>
            </w:r>
          </w:p>
        </w:tc>
        <w:tc>
          <w:tcPr>
            <w:tcW w:w="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16.1x</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35.7x</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analysis indicated the following implied enterprise values for Archenia (in millions)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89"/>
              </w:rPr>
              <w:t>25</w:t>
            </w:r>
            <w:r>
              <w:rPr>
                <w:rFonts w:ascii="Times New Roman" w:cs="Times New Roman" w:eastAsia="Times New Roman" w:hAnsi="Times New Roman"/>
                <w:sz w:val="18"/>
                <w:szCs w:val="18"/>
                <w:b w:val="1"/>
                <w:bCs w:val="1"/>
                <w:color w:val="auto"/>
                <w:w w:val="89"/>
                <w:vertAlign w:val="superscript"/>
              </w:rPr>
              <w:t>th</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75</w:t>
            </w:r>
            <w:r>
              <w:rPr>
                <w:rFonts w:ascii="Times New Roman" w:cs="Times New Roman" w:eastAsia="Times New Roman" w:hAnsi="Times New Roman"/>
                <w:sz w:val="18"/>
                <w:szCs w:val="18"/>
                <w:b w:val="1"/>
                <w:bCs w:val="1"/>
                <w:color w:val="auto"/>
                <w:w w:val="97"/>
                <w:vertAlign w:val="superscript"/>
              </w:rPr>
              <w:t>th</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Percentile</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Percentile</w:t>
            </w:r>
          </w:p>
        </w:tc>
        <w:tc>
          <w:tcPr>
            <w:tcW w:w="120" w:type="dxa"/>
            <w:vAlign w:val="bottom"/>
          </w:tcPr>
          <w:p>
            <w:pPr>
              <w:spacing w:after="0"/>
              <w:rPr>
                <w:sz w:val="18"/>
                <w:szCs w:val="18"/>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46"/>
        </w:trPr>
        <w:tc>
          <w:tcPr>
            <w:tcW w:w="30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EV/LTM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36"/>
        </w:trPr>
        <w:tc>
          <w:tcPr>
            <w:tcW w:w="3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59" w:hanging="426"/>
        <w:spacing w:after="0" w:line="298"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Craig-Hallum did not analyze the enterprise value-to-LTM EBITDA multiple with respect to the Transaction because Archenia’s LTM EBITDA was negative, which made the analysis not meaningful.</w:t>
      </w:r>
    </w:p>
    <w:p>
      <w:pPr>
        <w:spacing w:after="0" w:line="9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 transaction used in the analysis of comparable transactions is identical to Archenia or the Transaction. In evaluating the precedent transactions, Craig-Hallum made judgments and assumptions with regard to general business, market and financial conditions and other matters, which are beyond Archenia and the Company’s control. These include, among other things, the impact of competition on the business of Archenia, the Company, or the industry generally, industry growth and the absence of any adverse material change in the financial condition of Archenia, the Company, or the industry or in the financial markets in general, which could affect the value of the companies and the aggregate value and equity value of the transactions to which they are being compared.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Craig-Hallum performed a discounted cash flow analysis of Archenia, using Archenia financial projections provided by the Company for the nine months ending December 31, 2026 and for the years ending December 31, 2027 through 2030, discussions with management of the Company and Archenia, a review of Archenia’s historical financial performance, and other factors. The discounted cash flow analysis was performed to demonstrate an illustrative indication of the implied enterprise value of Archenia.</w:t>
      </w:r>
    </w:p>
    <w:p>
      <w:pPr>
        <w:spacing w:after="0" w:line="10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Craig-Hallum first calculated unlevered free cash flows (calculated as net operating profit after tax plus depreciation and amortization, less capital expenditures, less increase in net working capital) of the Company through 2030. Craig-Hallum then calculated terminal values for the Company using the terminal value method based on revenue multiples. In calculating free cash flows, Craig-Hallum used an assume combined tax rate of 25.3%. A terminal value based on revenue multiples was then calculated by applying a range of terminal revenue multiples of 1.06x to 1.46x and a range of terminal EBITDA multiples of 7.25x to 11.25x (selected based on Craig-Hallum’s professional judgment after consideration of the precedent M&amp;A transaction multiples and comparable public company multiples). These unlevered free cash flows and terminal values were then discounted to their respective present values as of June 25, 2026, using a range of discount rates of 18.3% to 22.3% (selected based on Craig-Hallum’s professional judgment and derived from an analysis of the estimated weighted average cost of capital of comparable public companies) to calculate a range of implied enterprise values for Archenia. From this analysis, Craig-Hallum derived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percentiles for the values produced from the discounted cash flow analysis, which range was $31.2 million to $37.4 million for the revenue analysis and $40.6 million to $51.6 million for the EBITDA analysis. Craig-Hallum then compared this range to the Consideration payable in the Transaction.</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Although discounted cash flow analysis is a widely accepted and practiced valuation methodology, it relies on a number of assumptions, including terminal multiples and discount rates and is necessarily based on projections of future operations of the analyzed business. The valuation derived from the discounted cash flow analysis is not necessarily indicative of Archenia’s present or future value or results. Discounted cash flow analysis in isolation from other analyses is a less effective method of evaluating transactions than when combined with other methods.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summary set forth above does not contain a complete description of the analyses performed by Craig-Hallum but summarizes the material analyses performed by Craig-Hallum in rendering its opinion. The preparation of a financial opinion is a complex analytical process involving various determinations as to the most appropriate and relevant methods of financial analysis and the application of those methods to the circumstances of the evaluated transaction and, therefore, a financial opinion is not readily susceptible to summary description. In arriving at its opinion, Craig-Hallum did not draw, in isolation, conclusions from or with regard to any factor or analysis that it considered. Rather, Craig-Hallum made its determination as to fairness on the basis of its experience and professional judgment after considering the results of all of the analyses. Craig-Hallum based its analyses on assumptions that it deemed reasonable, including those concerning general business and economic conditions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and industry-specific factors. The other principal assumptions upon which Craig-Hallum based its analysis have been described under the description of each analysis in the foregoing summary. Analyses based upon forecasts of future results are inherently uncertain, as they are subject to numerous factors or events beyond the control of the parties and their advisors. Accordingly, forecasts and analyses used or made by Craig-Hallum are not necessarily indicative of actual future results, which may be significantly more or less favorable than suggested by those analyses. Moreover, Craig-Hallum’s analyses are not and do not purport to be appraisals or otherwise reflective of the prices at which securities may trade at the present time or at any time in the future or at which businesses actually could be bought or sold.</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fact that any specific analysis has been referred to in the summary above is not meant to indicate that this analysis was given greater weight than any other analysis. In addition, the ranges of valuations resulting from any particular analysis described above should not be taken to be Craig-Hallum’s view of the actual value of the target or the combined company.</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Craig-Hallum’s analyses were prepared solely as part of Craig-Hallum’s analysis of the fairness to the Company, from a financial point of view, as of May 8, 2026, of the Consideration to be paid by the Company under the Stock Purchase Agreement. The opinion of Craig-Hallum was only one of the factors taken into consideration by the Special Committee in making its determination to approve the Stock Purchase Agreement and the Transaction to be completed thereunder.</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terms of the engagement letter between the Company and Craig-Hallum, the Company agreed to pay Craig-Hallum a fee of $187,500 upon delivery of the opinion (the “</w:t>
      </w:r>
      <w:r>
        <w:rPr>
          <w:rFonts w:ascii="Times New Roman" w:cs="Times New Roman" w:eastAsia="Times New Roman" w:hAnsi="Times New Roman"/>
          <w:sz w:val="18"/>
          <w:szCs w:val="18"/>
          <w:u w:val="single" w:color="auto"/>
          <w:color w:val="auto"/>
        </w:rPr>
        <w:t>Opinion Fee</w:t>
      </w:r>
      <w:r>
        <w:rPr>
          <w:rFonts w:ascii="Times New Roman" w:cs="Times New Roman" w:eastAsia="Times New Roman" w:hAnsi="Times New Roman"/>
          <w:sz w:val="18"/>
          <w:szCs w:val="18"/>
          <w:color w:val="auto"/>
        </w:rPr>
        <w:t>”). The Opinion Fee was not contingent upon the consummation of the Transaction or the conclusions reached in the opinion. Additionally, the Company has agreed to indemnify Craig-Hallum against certain liabilities and reimburse Craig-Hallum for certain expenses in connection with its services. Furthermore, Craig-Hallum was not requested to, and did not,</w:t>
      </w:r>
    </w:p>
    <w:p>
      <w:pPr>
        <w:spacing w:after="0" w:line="3" w:lineRule="exact"/>
        <w:rPr>
          <w:sz w:val="20"/>
          <w:szCs w:val="20"/>
          <w:color w:val="auto"/>
        </w:rPr>
      </w:pPr>
    </w:p>
    <w:p>
      <w:pPr>
        <w:jc w:val="both"/>
        <w:ind w:left="460" w:right="459" w:hanging="6"/>
        <w:spacing w:after="0" w:line="251" w:lineRule="auto"/>
        <w:tabs>
          <w:tab w:leader="none" w:pos="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negotiations with respect to the Stock Purchase Agreement or the Transaction, (ii) solicit any expressions of interest from any other parties with respect to any alternative transaction, or (iii) advise the Special Committee or the Board of Directors of the Company or any other party with respect to alternatives to the Transaction. In addition, Craig-Hallum was not requested to and did not provide advice regarding the structure or any other aspect of the Transaction, including without limitation the form or structure of the Consideration, or to provide services other than the delivery of its opinion. Craig-Hallum has not otherwise acted as financial advisor to any party to the Transaction. The opinion was reviewed and approved by Craig-Hallum’s fairness opinion committee.</w:t>
      </w:r>
    </w:p>
    <w:p>
      <w:pPr>
        <w:spacing w:after="0" w:line="12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its business, Craig-Hallum and its affiliates may actively trade securities of the Company for its own account or the account of its customers and, accordingly, may at any time hold a long or short position in such securities. Craig-Hallum has not received fees or other compensation from the Company or Archenia in the past two years prior to the issuance of its opinion. Craig-Hallum and its affiliates may from time to time perform various investment banking and financial advisory services for the Company or Archenia and for other clients and customers that may have conflicting interests with Company or Archenia, for which Craig-Hallum would expect to receive compensation.</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Craig-Hallum has adopted policies and procedures to establish and maintain the independence of Craig-Hallum’s research department and personnel. As a result, Craig-Hallum’s research analysts may hold opinions, make statements or investment recommendations and/or publish research reports with respect to the Transaction and other participants in the Transaction that differ from the opinions of Craig-Hallum’s investment banking personnel.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 appraisal or dissenters’ rights are available to our stockholders under Delaware law or under our certificate of incorporation or bylaws in connection with the Transaction.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are unaware of any material federal, state or foreign regulatory requirements or approvals required for the execution of the Stock Purchase Agreement or completion of the Transaction.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Transaction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Transaction to “U.S. holders” (as defined in the section below entitled “U.S. Holders” respectively) whose shares of Archenia Class A Common Stock and Class B Common Stock (“</w:t>
      </w:r>
      <w:r>
        <w:rPr>
          <w:rFonts w:ascii="Times New Roman" w:cs="Times New Roman" w:eastAsia="Times New Roman" w:hAnsi="Times New Roman"/>
          <w:sz w:val="18"/>
          <w:szCs w:val="18"/>
          <w:u w:val="single" w:color="auto"/>
          <w:color w:val="auto"/>
        </w:rPr>
        <w:t>Archenia Common Stock</w:t>
      </w:r>
      <w:r>
        <w:rPr>
          <w:rFonts w:ascii="Times New Roman" w:cs="Times New Roman" w:eastAsia="Times New Roman" w:hAnsi="Times New Roman"/>
          <w:sz w:val="18"/>
          <w:szCs w:val="18"/>
          <w:color w:val="auto"/>
        </w:rPr>
        <w:t>”) are exchanged for the Notes pursuant to the Transaction. This summary does not purport to consider all aspects of U.S. federal income taxation that might be relevant to our stockholders. This discussion is based on the Internal Revenue Code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applicable U.S. Treasury regulations promulgated thereunder, judicial opinions, and administrative rulings and published positions of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each as in effect as of the date hereof. These laws and authorities are subject to change, possibly on a retroactive basis, and any such change could affect the accuracy of the statements and conclusions set forth in this summary.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2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summary applies only to beneficial owners who hold shares of Archenia Common Stock as capital assets within the meaning of Section 1221 of the Code (generally, property held for investment purposes), and is not intended for holders of Archenia Common Stock subject to special treatment under U.S. federal income tax law, including, without limitation, the following:</w:t>
      </w:r>
    </w:p>
    <w:p>
      <w:pPr>
        <w:spacing w:after="0" w:line="112" w:lineRule="exact"/>
        <w:rPr>
          <w:sz w:val="20"/>
          <w:szCs w:val="20"/>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pension funds;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Archenia Common Stock through the exercise of options or similar derivative securities or otherwise as compensation;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shares of Archenia Common Stock are qualified small business stock for purposes of Section 1202 of the Code;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shares of Archenia Common Stock are “Section 1244 stock” for purposes of Section 1244 of the Code;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shares of Archenia Common Stock as part of a hedge, appreciated financial position, straddle or conversion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entered into a constructive sale of their Archenia Common Stock under the Code;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passive foreign investment company;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summary does not address any aspect of state, local or foreign tax laws, any estate or gift tax considerations, the application of the alternative minimum tax or any U.S. federal non-income taxes (including, for example, the additional 3.8% tax on certain net investment income that may be imposed under the Code) or any other form of taxation that may be applicable to a stockholder. Furthermore, it generally does not address the tax consequences of transactions effectuated before, after, or at the same time as the Transaction, whether or not they are in connection with the Transaction (including any conversion or disposition of the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Archenia Common Stock, the tax treatment of a partner of such partnership generally will depend on the status of the partner and the activities of the partner and the partnership. A partner of a partnership holding Archenia Common Stock should consult the partner’s tax advisor regarding the U.S. federal income tax consequences of the Transaction to such partner.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For purposes of this summary, a “</w:t>
      </w:r>
      <w:r>
        <w:rPr>
          <w:rFonts w:ascii="Times New Roman" w:cs="Times New Roman" w:eastAsia="Times New Roman" w:hAnsi="Times New Roman"/>
          <w:sz w:val="18"/>
          <w:szCs w:val="18"/>
          <w:b w:val="1"/>
          <w:bCs w:val="1"/>
          <w:i w:val="1"/>
          <w:iCs w:val="1"/>
          <w:color w:val="auto"/>
        </w:rPr>
        <w:t>U.S. holder</w:t>
      </w:r>
      <w:r>
        <w:rPr>
          <w:rFonts w:ascii="Times New Roman" w:cs="Times New Roman" w:eastAsia="Times New Roman" w:hAnsi="Times New Roman"/>
          <w:sz w:val="18"/>
          <w:szCs w:val="18"/>
          <w:color w:val="auto"/>
        </w:rPr>
        <w:t>” is any beneficial owner of shares of Archenia Common Stock that is, for U.S. federal income tax purposes:</w:t>
      </w:r>
    </w:p>
    <w:p>
      <w:pPr>
        <w:spacing w:after="0" w:line="91" w:lineRule="exact"/>
        <w:rPr>
          <w:sz w:val="20"/>
          <w:szCs w:val="20"/>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supervision of a court within the United States and the control of one or more U.S. persons or (ii) has a valid election in effect under applicable U.S. Treasury regulations to be treated as a U.S. person;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Tax Considerations for the Exchange of Archenia Common Stock for the Notes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exchange of shares of Archenia Common Stock for convertible promissory notes in the Transaction will be a taxable transaction for U.S. federal income tax purposes. In general, a U.S. holder whose shares of Archenia Common Stock are converted into the right to receive the Notes in the Transaction will recognize capital gain or loss for U.S. federal income tax purposes equal to the difference, if any, between the amount of principal amount of the Notes received with respect to such shares (determined before the deduction of any applicable withholding taxes, as described below under “Backup Withholding and Information Reporting”) and the U.S. holder’s adjusted tax basis in such shares. Gain or loss will be determined separately for each block of shares of Archenia Common Stock (i.e., shares of Archenia Common Stock acquired at the same cost in a single transaction). Such capital gain or loss will be long-term capital gain or loss if the U.S. holder has held such shares for more than 12 months as of the Closing Date. Long-term capital gains of non-corporate U.S. holders are currently subject to favorable tax rates. There are limitations on the deductibility of capital losses.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Tax Considerations for the Ownership, Conversion, Retirement and/or Disposition of the Notes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tax consequences of the ownership, conversion, retirement and/or disposition of the Notes will depend on certain future determinations of the Company, including whether (and to what extent) the Notes are required to be treated as issued with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Such consequences are based on complex laws, which may be subject to varying interpretations, and may depend upon the facts of a U.S. holder’s particular situation.</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U.S. holders are urged to consult their own tax advisor(s) as to the specific tax consequences to them of the ownership, conversion, retirement and/or disposition of the Notes, including applicable U.S. federal, state, local and non-U.S. tax consequences, and as to any tax reporting requirements in light of their own tax situations.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Backup withholding of tax (currently at the rate of 24%) may apply to payments to which a non-corporate U.S. holder is entitled under the Agreement and/or with respect to payments of interest on, or the conversion, retirement and/or disposition of the Notes, unless such U.S. holder provides a taxpayer identification number, certifies that such number is correct and otherwise complies with the backup withholding rules. Each U.S. holder that is a stockholder of record should complete and sign, under penalty of perjury, the IRS Form W-9 included as part of the letter of transmittal and return it to the Exchange Agent (with a copy to the Company in order to provide the information and certification necessary to avoid backup withholding, unless an exemption applies and is established in a manner satisfactory to the Exchange Agent.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cash payments to a stockholder pursuant to the Transaction under the backup withholding rules will generally be allowable as a refund or a credit against such stockholder’s U.S. federal income tax liability provided the required information is timely furnished to the IRS.</w:t>
      </w:r>
    </w:p>
    <w:p>
      <w:pPr>
        <w:spacing w:after="0" w:line="10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income tax consequences described above are for general informational purposes only and are not intended to constitute a complete description of all tax consequences relating to the Transaction. Because individual circumstances may differ, each stockholder should consult the stockholder’s tax advisor regarding the applicability of the rules discussed above to the stockholder, the particular tax effects to the stockholder of the Transaction in light of such stockholder’s particular circumstances and the application of state, local and foreign tax laws, if applicable.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Anticipated Accounting Treatment</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Marchex prepares its financial statements in accordance with accounting principles generally accepted in the United States of America, which is referred to as GAAP.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Business following the Transaction</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Transaction is completed, the Company will continue to operate as an AI-powered conversation intelligence company, enhanced by Archenia’s performance-based customer qualification and acquisition capabilities.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primary product offerings are:</w:t>
      </w:r>
    </w:p>
    <w:p>
      <w:pPr>
        <w:spacing w:after="0" w:line="154" w:lineRule="exact"/>
        <w:rPr>
          <w:sz w:val="20"/>
          <w:szCs w:val="20"/>
          <w:color w:val="auto"/>
        </w:rPr>
      </w:pPr>
    </w:p>
    <w:p>
      <w:pPr>
        <w:jc w:val="both"/>
        <w:ind w:left="1320" w:right="459" w:hanging="434"/>
        <w:spacing w:after="0" w:line="257"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Edge. </w:t>
      </w:r>
      <w:r>
        <w:rPr>
          <w:rFonts w:ascii="Times New Roman" w:cs="Times New Roman" w:eastAsia="Times New Roman" w:hAnsi="Times New Roman"/>
          <w:sz w:val="18"/>
          <w:szCs w:val="18"/>
          <w:color w:val="auto"/>
        </w:rPr>
        <w:t>Marketing Edge leverages conversational intelligence with generative AI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a comprehensive marketing attribution and conversation data solution. The platform identifies which campaigns and channels drive inbound conversations, evaluates what happens during those conversations, and closes the sales loop by connecting converted sales to marketing driven leads. Through optimization and advanced tracking, Marketing Edge enables customers to improve marketing, validate budgets, and drive revenue acceleration and operational excellence.</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Sonar Business Text Messaging. </w:t>
      </w:r>
      <w:r>
        <w:rPr>
          <w:rFonts w:ascii="Times New Roman" w:cs="Times New Roman" w:eastAsia="Times New Roman" w:hAnsi="Times New Roman"/>
          <w:sz w:val="18"/>
          <w:szCs w:val="18"/>
          <w:color w:val="auto"/>
        </w:rPr>
        <w:t>Sonar Business Text Messaging is an AI-powered, intelligent,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workflow-enabled mobile messaging solution that enables operations, sales, and marketing teams to communicate personally with field staff, prospects, and customers. Unlike basic text messaging, it provides a comprehensive and flexible two-way messaging solution that uses AI-powered automation to augment field-facing and customer-facing staff, driving dramatic and measurable increases in critical actions, customer engagement and conversions. The offering encompasses a unique workflow system that connects conversations to the client journey.</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Marchex Platform Services. </w:t>
      </w:r>
      <w:r>
        <w:rPr>
          <w:rFonts w:ascii="Times New Roman" w:cs="Times New Roman" w:eastAsia="Times New Roman" w:hAnsi="Times New Roman"/>
          <w:sz w:val="18"/>
          <w:szCs w:val="18"/>
          <w:color w:val="auto"/>
        </w:rPr>
        <w:t>Marchex Platform Services is a robust application programming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interface (“</w:t>
      </w:r>
      <w:r>
        <w:rPr>
          <w:rFonts w:ascii="Times New Roman" w:cs="Times New Roman" w:eastAsia="Times New Roman" w:hAnsi="Times New Roman"/>
          <w:sz w:val="18"/>
          <w:szCs w:val="18"/>
          <w:u w:val="single" w:color="auto"/>
          <w:color w:val="auto"/>
        </w:rPr>
        <w:t>API</w:t>
      </w:r>
      <w:r>
        <w:rPr>
          <w:rFonts w:ascii="Times New Roman" w:cs="Times New Roman" w:eastAsia="Times New Roman" w:hAnsi="Times New Roman"/>
          <w:sz w:val="18"/>
          <w:szCs w:val="18"/>
          <w:color w:val="auto"/>
        </w:rPr>
        <w:t>”) for conversation intelligence. It allows executives, sales, customer engagement, and marketing teams to apply Marchex AI to most any calls, regardless of communication platform, to identify actionable insights from conversations with their customers. This allows an active understanding of the conversations occurring. The platform enables a business to send phone call audio recordings directly from their existing communications platforms to Marchex, and in turn, receive actionable conversation insights such as call outcome, industry-specific deep call analysis, and speech-to-text transcripts, enabling data-driven decision-making, enhanced customer experiences, and improved sales outcomes. Marchex launched new features such as AI-generated Call Summaries and Sentiment Suite that are available via Marchex Platform Services. These new features analyze and generate summaries of consumer-to-business calls, enabling businesses to immediately identify customers who have had exceptionally good and dissatisfied experiences. They leverage the power of generative AI to help transform how businesses can capture and utilize critical insights from customer interactions and combine structured and unstructured data to provide a holistic view of customer emotions during conversations.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Spotlight. </w:t>
      </w:r>
      <w:r>
        <w:rPr>
          <w:rFonts w:ascii="Times New Roman" w:cs="Times New Roman" w:eastAsia="Times New Roman" w:hAnsi="Times New Roman"/>
          <w:sz w:val="18"/>
          <w:szCs w:val="18"/>
          <w:color w:val="auto"/>
        </w:rPr>
        <w:t>Spotlight is an innovative AI conversation analytics product specifically designed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multi-location businesses. Trusted by top brands and used by thousands of multi-location rooftops, the product provides critical insights and delivers actionable, data-driven observations that help enterprises improve performance across their national and regional sales organizations. With Spotlight, corporate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and regional managers can easily identify and track top-performing locations and those that may be underperforming. With this information, managers can make informed decisions to improve call handling and improve outcomes, leading to increased revenue and brand loyalty.</w:t>
      </w:r>
    </w:p>
    <w:p>
      <w:pPr>
        <w:spacing w:after="0" w:line="104" w:lineRule="exact"/>
        <w:rPr>
          <w:sz w:val="20"/>
          <w:szCs w:val="20"/>
          <w:color w:val="auto"/>
        </w:rPr>
      </w:pPr>
    </w:p>
    <w:p>
      <w:pPr>
        <w:jc w:val="both"/>
        <w:ind w:left="1320" w:right="459" w:hanging="434"/>
        <w:spacing w:after="0" w:line="25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Engage. </w:t>
      </w:r>
      <w:r>
        <w:rPr>
          <w:rFonts w:ascii="Times New Roman" w:cs="Times New Roman" w:eastAsia="Times New Roman" w:hAnsi="Times New Roman"/>
          <w:sz w:val="18"/>
          <w:szCs w:val="18"/>
          <w:color w:val="auto"/>
        </w:rPr>
        <w:t>Engage is a comprehensive solution that provides locations with applications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overall performance. With a keen focus on call handling and outcomes, it helps improve customer satisfaction ratings, increase appointment set rates, and drive incremental sales. The solution integrates call data into the business’s customer relationship management (“</w:t>
      </w:r>
      <w:r>
        <w:rPr>
          <w:rFonts w:ascii="Times New Roman" w:cs="Times New Roman" w:eastAsia="Times New Roman" w:hAnsi="Times New Roman"/>
          <w:sz w:val="18"/>
          <w:szCs w:val="18"/>
          <w:u w:val="single" w:color="auto"/>
          <w:color w:val="auto"/>
        </w:rPr>
        <w:t>CRM</w:t>
      </w:r>
      <w:r>
        <w:rPr>
          <w:rFonts w:ascii="Times New Roman" w:cs="Times New Roman" w:eastAsia="Times New Roman" w:hAnsi="Times New Roman"/>
          <w:sz w:val="18"/>
          <w:szCs w:val="18"/>
          <w:color w:val="auto"/>
        </w:rPr>
        <w:t>”) to capture all customer interactions in one place, providing valuable insights for optimization and real-time alerts when a sales conversation ends negatively, creating opportunities for training, accountability, and empowering revenue growth.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Call Summary and Sentiment Suite</w:t>
      </w:r>
      <w:r>
        <w:rPr>
          <w:rFonts w:ascii="Times New Roman" w:cs="Times New Roman" w:eastAsia="Times New Roman" w:hAnsi="Times New Roman"/>
          <w:sz w:val="18"/>
          <w:szCs w:val="18"/>
          <w:color w:val="auto"/>
        </w:rPr>
        <w:t>. Call Summary and Sentiment Suite are capabilities 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generative AI that analyze and generate summaries of consumer-to-business calls, enabling businesses to identify customers who have had exceptionally good experiences and dissatisfied customers. This valuable data empowers companies to capitalize on positive interactions by advancing sales processes or encouraging positive online behaviors, including reviews, and take action to rectify concerns from dissatisfied customers. These products are the first in a series of AI enhancements in Marchex’s product pipeline designed to equip organizations with applications to proactively identify sales and growth opportunities, and address issues that may lead to negative experiences and reviews from dissatisfied customers.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 for Industry Solution</w:t>
      </w:r>
      <w:r>
        <w:rPr>
          <w:rFonts w:ascii="Times New Roman" w:cs="Times New Roman" w:eastAsia="Times New Roman" w:hAnsi="Times New Roman"/>
          <w:sz w:val="18"/>
          <w:szCs w:val="18"/>
          <w:color w:val="auto"/>
        </w:rPr>
        <w:t>. Marchex’s new AI for Industry solution offers a range of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designed to enhance business performance and customer engagement. The solution provides for automatic lead qualification, identifying high-value leads with industry-specific indicators to target the most valuable opportunities. Additionally, it offers improved attribution, allowing businesses to segment target audiences and improve automated bidding using attributes such as product/service, lead outcome, lead value, and topics. The solution enhances conversion performance by using high-quality metrics to understand the performance of conversion events through the sales funnel.</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Archenia Qualified Leads. </w:t>
      </w:r>
      <w:r>
        <w:rPr>
          <w:rFonts w:ascii="Times New Roman" w:cs="Times New Roman" w:eastAsia="Times New Roman" w:hAnsi="Times New Roman"/>
          <w:sz w:val="18"/>
          <w:szCs w:val="18"/>
          <w:color w:val="auto"/>
        </w:rPr>
        <w:t>Archenia sources consumer calls through a validated network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hundreds of publishers matched by such items as business vertical and geography. At initial contact, proprietary conversational AI agents qualify callers, with conversations analyzed, classified, and summarized via LLMs and AI verification, delivering immediate visibility into conversation quality and intent. Clients pay for engagements that result in such items as appointments, sales, exploratory calls, or commitments to follow up, directly aligning cost with outcome. Archenia’s low friction qualification process allows for precision in optimization and significantly improves customer acquisition programs and return on ad spend.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 Reporting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obligations as a public company to file reports with the SEC will not be affected as a result of the closing of the Transaction.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Expected Timing of the Transaction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expect to complete the Transaction promptly following the Special Meeting if we obtain Stockholder Approval and the various other conditions to closing are satisfied or waived. However, the Transaction may not be completed as currently anticipated. Certain factors, including factors outside of our control and the control of Sellers, could result in the Transaction being delayed or not occurring at all.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sets forth the principal terms of the Stock Purchase Agreement, a copy of which (including the Form of Convertible Promissory Note that is an exhibit thereto)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to this Proxy Statement and is incorporated herein by reference. The rights and obligations of the parties are governed by the express terms and conditions of the Stock Purchase Agreement and not by this discussion, which is summary in nature. This discussion is not complete and is qualified in its entirety by reference to the complete text of the Stock Purchase Agreement (including the Form of Convertible Promissory Note that is an exhibit thereto). All capitalized terms used but not defined in this section shall have the meanings set forth in the Stock Purchase Agreement. You are encouraged to read the Stock Purchase Agreement carefully and in its entirety (including the exhibit thereto), as well as this Proxy Statement and any documents included herewith, before making any decisions regarding the proposals being brought before the Special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Purchase of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Purchased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terms and subject to the conditions of the Stock Purchase Agreement, Buyer has agreed to purchase, and Sellers have agreed to sell to Buyer, 100% of the outstanding shares of capital stock of Archenia.</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consideration for the purchase of the Business, Buyer has agreed to pay the Sellers (a) an aggregate of $10 million in convertible promissory notes to be issued to the Sellers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with interest at 6%, payable in three equal tranches on the 12-, 18-, and 24-month anniversaries of the closing date of the Transaction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where principal and interest under the Notes are convertible in whole or in part into shares of the Company’s Class B common stock at a $1.80 price per share and (b) for each of the first and second 12-month periods following the Closing Date, to the extent (1) Archenia’s revenue or Adjusted EBITDA (as defined in the Stock Purchase Agreement) exceed such amounts for the 12-month period prior to the Closing Date, and (2) Archenia achieves certain specified integration or customer retention targets, the Company will issue to the Sellers an aggregate of 2 million shares of its Class B common stock for each such period (the “</w:t>
      </w:r>
      <w:r>
        <w:rPr>
          <w:rFonts w:ascii="Times New Roman" w:cs="Times New Roman" w:eastAsia="Times New Roman" w:hAnsi="Times New Roman"/>
          <w:sz w:val="18"/>
          <w:szCs w:val="18"/>
          <w:u w:val="single" w:color="auto"/>
          <w:color w:val="auto"/>
        </w:rPr>
        <w:t>Earn-out Consideration</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Agreement contains a number of representations and warranties made by the Buyer and Sellers. The statements embodied in those representations and warranties were made for purposes of the Agreement between the parties and are subject to qualifications and limitations agreed to by the parties in connection with negotiating the terms of the Agreement. Certain representations and warranties were made as of May 8, 2026, may be subject to contractual standards of materiality different from those generally applicable to stockholders or which may have been used for the purpose of allocating risk between the parties rather than establishing matters of fact. Accordingly, you should not rely on the representations and warranties as characterizations of the actual state of facts because they are qualified as described above. Moreover, information concerning the subject matter of the representations and warranties may have changed since May 8, 2026, and these changes may or may not be fully reflected in the Buyer’s or Sellers’ public disclosures. The Agreement should not be read alone, but should instead be read in conjunction with the other information regarding the Buyer and Sellers that is contained in this Proxy Statement, as well as in the filings that the Buyer will make and has made with the SEC. The representations and warranties contained in the Agreement may or may not have been accurate as of the date they were made, and we make no assertion herein that they are accurate as of the date of this Proxy Statement.</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Buyer Representations and Warranties</w:t>
      </w:r>
    </w:p>
    <w:p>
      <w:pPr>
        <w:spacing w:after="0" w:line="13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Agreement, the Buyer has made a number of representations and warranties that are subject, in some cases, to specified exceptions and qualifications contained in the Agreement. These representations and warranties relate to, among other things:</w:t>
      </w:r>
    </w:p>
    <w:p>
      <w:pPr>
        <w:spacing w:after="0" w:line="95" w:lineRule="exact"/>
        <w:rPr>
          <w:sz w:val="20"/>
          <w:szCs w:val="20"/>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authority to enter into the Agreement and each of the Related Agreements, the validity and enforceability of such agreements; and</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valid issuance of shares of the Company’s Class B common stock issuable upon conversion of the Notes.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Sellers Representations and Warranties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Sellers’ representations and warranties relate to, among other things:</w:t>
      </w:r>
    </w:p>
    <w:p>
      <w:pPr>
        <w:spacing w:after="0" w:line="158" w:lineRule="exact"/>
        <w:rPr>
          <w:sz w:val="20"/>
          <w:szCs w:val="20"/>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corporation organization;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authority to enter into the Agreement and each of the Related Agreements and the validity and enforceability of such agreements;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charter documents, applicable law or certain contracts as a result of the execution, delivery and performance by Sellers of the Stock Purchase Agreement and the Related Agreements;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the Shares and securities law compliance;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disclosure of information.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of Transactions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part of the Transaction, the Sellers agreed that they will not, and will not authorize or permit their Affiliates or Representatives to, directly or indirectly, encourage, solicit, initiate, facilitate or continue any inquiries regarding, enter into discussions or negotiations concerning, provide information in connection with, or enter into any agreement or instrument relating to, any Acquisition Proposal, and that they will immediately cease any existing discussions or negotiations with respect to any Acquisition Proposal. The Sellers also agreed to promptly notify us orally and in writing of any Acquisition Proposal, request for information or related inquiry, including the material terms and conditions and the identity of the Person making the proposal or inquiry, and acknowledged that we would be entitled to specific enforcement for any breach of the no-solicitation covenant. In addition, the Sellers agreed to keep Company information confidential after Closing, subject to customary public-domain, lawful-source and legally compelled disclosure exceptions; the parties agreed not to make public announcements or communicate with the news media regarding the Stock Purchase Agreement or the Transaction without the other party’s prior written consent, unless required by Law or stock exchange requirements; the Sellers agreed to use reasonable best efforts to give required notices and obtain third-party consents; we and the Seller Representative agreed to cooperate on the Buyer proxy statement and our stockholders’ meeting, with us required to seek the Majority of the Minority Vote and the Seller Representative required to deliver specified voting proxies and not interfere with our proxy solicitation; we agreed, upon the Seller Representative’s post-Closing written request, to use commercially reasonable efforts to register the resale of the Conversion Shares and contingent consideration shares; and we agreed to prepare post-Closing Tax Returns for Pre-Closing Tax Periods consistently with past practice unless otherwise required by Law.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Sellers are restricted from disclosing confidential information concerning the Company after Closing, except for information that becomes public through no fault of the Sellers, is lawfully obtained from non-restricted sources, or is required to be disclosed by legal process or Law, and the parties are restricted from making public announcements or communicating with the news media about the Stock Purchase Agreement or the Transaction without the other party’s prior written consent unless required by Law or stock exchange requirements.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Meeting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required, as promptly as reasonably practicable to (i) file this Proxy Statement with the SEC, and</w:t>
      </w:r>
    </w:p>
    <w:p>
      <w:pPr>
        <w:spacing w:after="0" w:line="27" w:lineRule="exact"/>
        <w:rPr>
          <w:sz w:val="20"/>
          <w:szCs w:val="20"/>
          <w:color w:val="auto"/>
        </w:rPr>
      </w:pPr>
    </w:p>
    <w:p>
      <w:pPr>
        <w:jc w:val="both"/>
        <w:ind w:left="460" w:right="459" w:hanging="6"/>
        <w:spacing w:after="0" w:line="255" w:lineRule="auto"/>
        <w:tabs>
          <w:tab w:leader="none" w:pos="7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meeting of stockholders for the purposes of obtaining the requisite stockholder approval and the Majority of the Minority Vote following the effectiveness of this Proxy Statement. We are required to cooperate and consult with Sellers in connection with the preparation of this Proxy Statement.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162"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respective obligations of the Parties to effect the Transaction are subject to satisfaction (or waiver by Sellers and the Buyer, if permitted by law) at or prior to the closing of certain conditions, including</w:t>
      </w:r>
    </w:p>
    <w:p>
      <w:pPr>
        <w:spacing w:after="0" w:line="81" w:lineRule="exact"/>
        <w:rPr>
          <w:sz w:val="20"/>
          <w:szCs w:val="20"/>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have performed in all material respects all covenants and agreements required to be performed by each of them at or prior to the closing;</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Majority of the Minority Vote;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written consents (or waivers with respect thereto) as described in Schedule 3.04 of the Disclosure Schedule of the Stock Purchase Agreement;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various Related Agreements; and no occurrence of any Material Adverse Effect, which generally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59"/>
        <w:spacing w:after="0" w:line="281" w:lineRule="auto"/>
        <w:rPr>
          <w:sz w:val="20"/>
          <w:szCs w:val="20"/>
          <w:color w:val="auto"/>
        </w:rPr>
      </w:pPr>
      <w:r>
        <w:rPr>
          <w:rFonts w:ascii="Times New Roman" w:cs="Times New Roman" w:eastAsia="Times New Roman" w:hAnsi="Times New Roman"/>
          <w:sz w:val="17"/>
          <w:szCs w:val="17"/>
          <w:color w:val="auto"/>
        </w:rPr>
        <w:t>Sellers shall indemnify and defend each of Buyer and its Affiliates (including the Company) and their respective Representatives (collectively, the “</w:t>
      </w:r>
      <w:r>
        <w:rPr>
          <w:rFonts w:ascii="Times New Roman" w:cs="Times New Roman" w:eastAsia="Times New Roman" w:hAnsi="Times New Roman"/>
          <w:sz w:val="17"/>
          <w:szCs w:val="17"/>
          <w:u w:val="single" w:color="auto"/>
          <w:color w:val="auto"/>
        </w:rPr>
        <w:t>Buyer Indemnitees</w:t>
      </w:r>
      <w:r>
        <w:rPr>
          <w:rFonts w:ascii="Times New Roman" w:cs="Times New Roman" w:eastAsia="Times New Roman" w:hAnsi="Times New Roman"/>
          <w:sz w:val="17"/>
          <w:szCs w:val="17"/>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97" w:lineRule="exact"/>
        <w:rPr>
          <w:sz w:val="20"/>
          <w:szCs w:val="20"/>
          <w:color w:val="auto"/>
        </w:rPr>
      </w:pPr>
    </w:p>
    <w:p>
      <w:pPr>
        <w:jc w:val="both"/>
        <w:ind w:left="1320" w:right="459" w:hanging="434"/>
        <w:spacing w:after="0" w:line="256" w:lineRule="auto"/>
        <w:tabs>
          <w:tab w:leader="none" w:pos="13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any Seller contained in the Stock Purchase Agreement or in any certificate or instrument delivered by or on behalf of any Seller pursuant to the Stock Purchase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spacing w:after="0" w:line="10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covenant, agreement or obligation to be performed by any Seller pursuant to the Stock Purchase Agreement.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Stock Purchase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Purchase Agreement may be terminated:</w:t>
      </w:r>
    </w:p>
    <w:p>
      <w:pPr>
        <w:spacing w:after="0" w:line="158" w:lineRule="exact"/>
        <w:rPr>
          <w:sz w:val="20"/>
          <w:szCs w:val="20"/>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by mutual consent of the Parties;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Seller Representative or Buyer, upon written notice to the other party, if the transactions contemplated by this Agreement have not been consummated on or before September 30, 2026 (the “</w:t>
      </w:r>
      <w:r>
        <w:rPr>
          <w:rFonts w:ascii="Times New Roman" w:cs="Times New Roman" w:eastAsia="Times New Roman" w:hAnsi="Times New Roman"/>
          <w:sz w:val="18"/>
          <w:szCs w:val="18"/>
          <w:u w:val="single" w:color="auto"/>
          <w:color w:val="auto"/>
        </w:rPr>
        <w:t>Drop Dead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terminate this Agreement shall not be available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to any party whose material breach of any representation, warranty, covenant, or agreement set forth in this Agreement has been the principal cause of, or primarily resulted in, the failure of the transactions contemplated by this Agreement to be consummated on or before the Drop Dead Date;</w:t>
      </w:r>
    </w:p>
    <w:p>
      <w:pPr>
        <w:spacing w:after="0" w:line="108" w:lineRule="exact"/>
        <w:rPr>
          <w:sz w:val="20"/>
          <w:szCs w:val="20"/>
          <w:color w:val="auto"/>
        </w:rPr>
      </w:pPr>
    </w:p>
    <w:p>
      <w:pPr>
        <w:jc w:val="both"/>
        <w:ind w:left="1320" w:right="459" w:hanging="434"/>
        <w:spacing w:after="0" w:line="25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written notice to the Sellers if Buyer is not then in material breach of any provision of this Agreement and there has been a breach, inaccuracy in or failure to perform any representation, warranty, covenant or agreement made by the Sellers pursuant to this Agreement that would give rise to the failure of any of the conditions specified in the Stock Purchase Agreement and such breach, inaccuracy or failure has not been cured by the Sellers within ten (10) days of Sellers’ receipt of written notice of such breach from Buyer; or</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Sellers by written notice to Buyer if the Sellers are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the Stock Purchase Agreement and such breach, inaccuracy or failure has not been cured by Buyer within ten (10) days of Buyer’s receipt of written notice of such breach from the Sellers.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event of termination of the Stock Purchase Agreement, the Stock Purchase Agreement will become void without liability on the part of any Party or its officers, directors or stockholders (with certain limited exceptions).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Agreement, all fees and expenses incurred in connection with the Agreement and the transactions contemplated thereby will be paid by the party incurring such fees or expenses, whether or not the Transaction is consummated.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Stock Purchase Agreement is governed by Delaware law.</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of Convertible Promissory Note</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closing of the Transaction, we will issue convertible promissory notes to the Sellers as the consideration for the purchase of their shares, with each Seller receiving a note in a principal amount equal to such Seller’s pro rata share of the $10.0 million purchase price. The notes will accrue simple interest at a rate of 6% per year from the date of issuance until paid in full or converted, and the outstanding principal will be payable in three equal installments on the dates that are 12 months, 18 months and 24 months following the closing of the Transaction, with accrued interest payable together with the applicable principal installment. We may not prepay the notes before the applicable maturity date without the consent of the applicable holder. At any time before a note is paid in full, the holder may elect to convert all or a portion of the outstanding principal and accrued but unpaid interest under the note into shares of our Class B common stock at a conversion price of $1.80 per share. The notes and any shares issuable upon conversion will be restricted securities, and the holders acknowledge that there is no public market for the notes and that we have no obligation to register the notes or the conversion shares except as provided in the Stock Purchase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RELATED PARTIES IN THE TRANSACTION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previously described in this Proxy Statement, the Company entered into the Stock Purchase Agreement with the Sellers, who include Russell C. Horowitz, our Chairman, and Michael Arends, our Vice Chairman. Accordingly, all of the rights and obligations of Sellers under the Stock Purchase Agreement indirectly affect the interests of Messrs. Horowitz and Arends. Whether and to what extent the payments in connection with the Earn-out Consideration are made by the Company may be influenced by the future business performance, accounting decisions and influence of Sellers. In addition, as directors of Marchex, Messrs. Horowitz and Arends enjoy certain rights to indemnification from the Company, which may be triggered in circumstances relating to the Stock Purchase Agreement.</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light of these different or additional interests, the Board formed the Special Committee, comprised solely of independent directors of the Company, to consider and negotiate the terms of the Transaction and to ensure the terms were fair, advisable to and in the best interests of the Company and its stockholders. On May 8, 2026, the Special Committee approved the Transaction and recommended that the Board do the same.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Marchex</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Marchex’s audited consolidated financial statements as of and for the fiscal years ended December 31, 2025 and 2024, and the notes thereto, are contained in our annual report on Form 10-K that is incorporated by reference into this Proxy Statement. Marchex’s unaudited condensed consolidated financial statements as of and for the fiscal quarters ended March 31, 2026 and 2025, and the notes thereto, are contained in our quarterly report on Form 10-Q that is incorporated by reference into this Proxy Statement.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Marchex has prepared unaudited pro forma consolidated financial information and notes thereto for Marchex, which begin on page F-2. The unaudited pro forma consolidated financial information has been prepared from Marchex’s historical consolidated financial statements and give effect to the Transactions. There can be no assurance that the Transaction will be consummated. The unaudited pro forma consolidated financial statements should be read in conjunction with the historical financial statements of Marchex and the notes thereto.</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Archenia and Subsidiary</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Archenia has prepared audited consolidated financial statements as of and for the fiscal year ended December 31, 2025, and notes thereto, which begin on page F-9. Archenia has also prepared unaudited condensed consolidated financial statements as of and for the quarterly period ended March 31, 2026, and notes thereto, which begin on page F-23.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To the Company’s knowledge, the following table sets forth information regarding the beneficial ownership of our Class A common stock and Class B common stock as of April 10, 2026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own beneficially more than 5% of the outstanding shares of our Class A common stock or Class B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(as defined in Regulation S-K Item 402);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nominees for director and executive officers as a group.</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Percentage of beneficial ownership is based on 4,660,927 shares of our Class A common stock and 39,896,634 shares of our Class B common stock outstanding as of April 10, 2026. In computing the number of shares beneficially owned by a person and the percentage ownership of that person, shares of common stock subject to options or restricted stock units held by that person that are currently exercisable or exercisable or issuable upon vesting within 60 days of April 10, 2026, are deemed outstanding. These shares are not, however, deemed outstanding for the purposes of computing the percentage ownership of any other person. Except as otherwise noted below, the address for each beneficial owner listed below is c/o Marchex, Inc., 1448 NW Market St, Suite 500, Seattle, Washington 98107. Except as indicated in the footnotes below and except as subject to community property laws where applicable, the persons named in the table below have sole voting and investment power with respect to all shares of common stock shown as beneficially owned by them.</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spacing w:after="0" w:line="301" w:lineRule="auto"/>
        <w:rPr>
          <w:sz w:val="20"/>
          <w:szCs w:val="20"/>
          <w:color w:val="auto"/>
        </w:rPr>
      </w:pPr>
      <w:r>
        <w:rPr>
          <w:rFonts w:ascii="Times New Roman" w:cs="Times New Roman" w:eastAsia="Times New Roman" w:hAnsi="Times New Roman"/>
          <w:sz w:val="16"/>
          <w:szCs w:val="16"/>
          <w:b w:val="1"/>
          <w:bCs w:val="1"/>
          <w:color w:val="auto"/>
        </w:rPr>
        <w:t>Name and, as appropriate, Address of Beneficial Owner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Pr>
          <w:p>
            <w:pPr>
              <w:spacing w:after="0"/>
              <w:rPr>
                <w:sz w:val="18"/>
                <w:szCs w:val="18"/>
                <w:color w:val="auto"/>
              </w:rPr>
            </w:pPr>
          </w:p>
        </w:tc>
        <w:tc>
          <w:tcPr>
            <w:tcW w:w="23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20" w:type="dxa"/>
            <w:vAlign w:val="bottom"/>
            <w:tcBorders>
              <w:bottom w:val="single" w:sz="8" w:color="auto"/>
            </w:tcBorders>
            <w:gridSpan w:val="3"/>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920" w:type="dxa"/>
            <w:vAlign w:val="bottom"/>
            <w:gridSpan w:val="3"/>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6"/>
              </w:rPr>
              <w:t>Class A</w:t>
            </w:r>
          </w:p>
        </w:tc>
        <w:tc>
          <w:tcPr>
            <w:tcW w:w="1240" w:type="dxa"/>
            <w:vAlign w:val="bottom"/>
          </w:tcPr>
          <w:p>
            <w:pPr>
              <w:jc w:val="center"/>
              <w:ind w:left="479"/>
              <w:spacing w:after="0" w:line="181" w:lineRule="exact"/>
              <w:rPr>
                <w:sz w:val="20"/>
                <w:szCs w:val="20"/>
                <w:color w:val="auto"/>
              </w:rPr>
            </w:pPr>
            <w:r>
              <w:rPr>
                <w:rFonts w:ascii="Times New Roman" w:cs="Times New Roman" w:eastAsia="Times New Roman" w:hAnsi="Times New Roman"/>
                <w:sz w:val="16"/>
                <w:szCs w:val="16"/>
                <w:b w:val="1"/>
                <w:bCs w:val="1"/>
                <w:color w:val="auto"/>
              </w:rPr>
              <w:t>Class B</w:t>
            </w:r>
          </w:p>
        </w:tc>
        <w:tc>
          <w:tcPr>
            <w:tcW w:w="600" w:type="dxa"/>
            <w:vAlign w:val="bottom"/>
          </w:tcPr>
          <w:p>
            <w:pPr>
              <w:spacing w:after="0"/>
              <w:rPr>
                <w:sz w:val="15"/>
                <w:szCs w:val="15"/>
                <w:color w:val="auto"/>
              </w:rPr>
            </w:pPr>
          </w:p>
        </w:tc>
        <w:tc>
          <w:tcPr>
            <w:tcW w:w="102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Total Voting</w:t>
            </w:r>
          </w:p>
        </w:tc>
        <w:tc>
          <w:tcPr>
            <w:tcW w:w="0" w:type="dxa"/>
            <w:vAlign w:val="bottom"/>
          </w:tcPr>
          <w:p>
            <w:pPr>
              <w:spacing w:after="0"/>
              <w:rPr>
                <w:sz w:val="1"/>
                <w:szCs w:val="1"/>
                <w:color w:val="auto"/>
              </w:rPr>
            </w:pPr>
          </w:p>
        </w:tc>
      </w:tr>
      <w:tr>
        <w:trPr>
          <w:trHeight w:val="95"/>
        </w:trPr>
        <w:tc>
          <w:tcPr>
            <w:tcW w:w="1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92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020" w:type="dxa"/>
            <w:vAlign w:val="bottom"/>
          </w:tcPr>
          <w:p>
            <w:pPr>
              <w:jc w:val="center"/>
              <w:ind w:left="122"/>
              <w:spacing w:after="0" w:line="145" w:lineRule="exact"/>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230"/>
        </w:trPr>
        <w:tc>
          <w:tcPr>
            <w:tcW w:w="8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29210</wp:posOffset>
            </wp:positionV>
            <wp:extent cx="514350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3080" w:space="560"/>
            <w:col w:w="53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b w:val="1"/>
          <w:bCs w:val="1"/>
          <w:color w:val="auto"/>
        </w:rPr>
        <w:t>5% Security Holders: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7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Edenbrook Capital, LLC</w:t>
            </w:r>
            <w:r>
              <w:rPr>
                <w:rFonts w:ascii="Times New Roman" w:cs="Times New Roman" w:eastAsia="Times New Roman" w:hAnsi="Times New Roman"/>
                <w:sz w:val="20"/>
                <w:szCs w:val="20"/>
                <w:color w:val="auto"/>
                <w:vertAlign w:val="superscript"/>
              </w:rPr>
              <w:t>(2)</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14,561,905</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116 Radio Circle</w:t>
            </w:r>
          </w:p>
        </w:tc>
        <w:tc>
          <w:tcPr>
            <w:tcW w:w="1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Mount Kisco, NY 10549</w:t>
            </w: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3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Koller Capital LLC</w:t>
            </w:r>
            <w:r>
              <w:rPr>
                <w:rFonts w:ascii="Times New Roman" w:cs="Times New Roman" w:eastAsia="Times New Roman" w:hAnsi="Times New Roman"/>
                <w:sz w:val="20"/>
                <w:szCs w:val="20"/>
                <w:color w:val="auto"/>
                <w:vertAlign w:val="superscript"/>
              </w:rPr>
              <w:t>(3)</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3,865,175</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1343 Main Street, Suite 413</w:t>
            </w: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3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Sarasota, FL 34236</w:t>
            </w:r>
          </w:p>
        </w:tc>
        <w:tc>
          <w:tcPr>
            <w:tcW w:w="1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NEOs and Directors:</w:t>
            </w: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0"/>
        </w:trPr>
        <w:tc>
          <w:tcPr>
            <w:tcW w:w="3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Arends</w:t>
            </w:r>
            <w:r>
              <w:rPr>
                <w:rFonts w:ascii="Times New Roman" w:cs="Times New Roman" w:eastAsia="Times New Roman" w:hAnsi="Times New Roman"/>
                <w:sz w:val="20"/>
                <w:szCs w:val="20"/>
                <w:color w:val="auto"/>
                <w:vertAlign w:val="superscript"/>
              </w:rPr>
              <w:t>(4)</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2,081,666</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Dennis Cline</w:t>
            </w:r>
            <w:r>
              <w:rPr>
                <w:rFonts w:ascii="Times New Roman" w:cs="Times New Roman" w:eastAsia="Times New Roman" w:hAnsi="Times New Roman"/>
                <w:sz w:val="20"/>
                <w:szCs w:val="20"/>
                <w:color w:val="auto"/>
                <w:vertAlign w:val="superscript"/>
              </w:rPr>
              <w:t>(5)</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286,760</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Cogsville</w:t>
            </w:r>
            <w:r>
              <w:rPr>
                <w:rFonts w:ascii="Times New Roman" w:cs="Times New Roman" w:eastAsia="Times New Roman" w:hAnsi="Times New Roman"/>
                <w:sz w:val="20"/>
                <w:szCs w:val="20"/>
                <w:color w:val="auto"/>
                <w:vertAlign w:val="superscript"/>
              </w:rPr>
              <w:t>(6)</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230,623</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Francis Feeney</w:t>
            </w:r>
            <w:r>
              <w:rPr>
                <w:rFonts w:ascii="Times New Roman" w:cs="Times New Roman" w:eastAsia="Times New Roman" w:hAnsi="Times New Roman"/>
                <w:sz w:val="20"/>
                <w:szCs w:val="20"/>
                <w:color w:val="auto"/>
                <w:vertAlign w:val="superscript"/>
              </w:rPr>
              <w:t>(7)</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855,428</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Hartless</w:t>
            </w:r>
            <w:r>
              <w:rPr>
                <w:rFonts w:ascii="Times New Roman" w:cs="Times New Roman" w:eastAsia="Times New Roman" w:hAnsi="Times New Roman"/>
                <w:sz w:val="20"/>
                <w:szCs w:val="20"/>
                <w:color w:val="auto"/>
                <w:vertAlign w:val="superscript"/>
              </w:rPr>
              <w:t>(8)</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675,000</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Russell Horowitz</w:t>
            </w:r>
            <w:r>
              <w:rPr>
                <w:rFonts w:ascii="Times New Roman" w:cs="Times New Roman" w:eastAsia="Times New Roman" w:hAnsi="Times New Roman"/>
                <w:sz w:val="20"/>
                <w:szCs w:val="20"/>
                <w:color w:val="auto"/>
                <w:vertAlign w:val="superscript"/>
              </w:rPr>
              <w:t>(9)</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4,660,927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1,449,855</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8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Nagle</w:t>
            </w:r>
            <w:r>
              <w:rPr>
                <w:rFonts w:ascii="Times New Roman" w:cs="Times New Roman" w:eastAsia="Times New Roman" w:hAnsi="Times New Roman"/>
                <w:sz w:val="20"/>
                <w:szCs w:val="20"/>
                <w:color w:val="auto"/>
                <w:vertAlign w:val="superscript"/>
              </w:rPr>
              <w:t>(10)</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26,249</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 Wayne Wisehart</w:t>
            </w:r>
            <w:r>
              <w:rPr>
                <w:rFonts w:ascii="Times New Roman" w:cs="Times New Roman" w:eastAsia="Times New Roman" w:hAnsi="Times New Roman"/>
                <w:sz w:val="20"/>
                <w:szCs w:val="20"/>
                <w:color w:val="auto"/>
                <w:vertAlign w:val="superscript"/>
              </w:rPr>
              <w:t>(6)</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461,145</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w:t>
            </w:r>
          </w:p>
        </w:tc>
        <w:tc>
          <w:tcPr>
            <w:tcW w:w="1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7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(8 persons)</w:t>
            </w:r>
            <w:r>
              <w:rPr>
                <w:rFonts w:ascii="Times New Roman" w:cs="Times New Roman" w:eastAsia="Times New Roman" w:hAnsi="Times New Roman"/>
                <w:sz w:val="20"/>
                <w:szCs w:val="20"/>
                <w:color w:val="auto"/>
                <w:vertAlign w:val="superscript"/>
              </w:rPr>
              <w:t>(11)</w:t>
            </w: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4,660,927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6,066,726</w:t>
            </w:r>
          </w:p>
        </w:tc>
        <w:tc>
          <w:tcPr>
            <w:tcW w:w="10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or total voting power, as the case may be, representing less than one percent.</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voting power represents voting power with respect to shares of our Class A and Class B common stock, as a single class. Each holder of Class A common stock shall be entitled to 25 votes per share and each holder of Class B common stock shall be entitled to 1 vote per share on all matters submitted to a vote of stockholders, except as may otherwise be required by law. The Class A common stock is convertible at any time by the holder into shares of Class B common stock on a share-for-share basis.</w:t>
      </w:r>
    </w:p>
    <w:p>
      <w:pPr>
        <w:jc w:val="both"/>
        <w:ind w:left="880" w:right="459" w:hanging="426"/>
        <w:spacing w:after="0" w:line="270" w:lineRule="auto"/>
        <w:tabs>
          <w:tab w:leader="none" w:pos="8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most recently available Schedule 13D filed with the SEC on November 13, 2023 by Edenbrook Capital, LLC (“Edenbrook”); Jonathan Brolin, an individual; and Edenbrook Long Only Value Fund, LP (“Edenbrook Fund”). Edenbrook and Mr. Brolin report beneficial ownership and shared voting and dispositive power of 14,561,905 shares of our Class B common stock. The Edenbrook Fund reports beneficial ownership of 13,239,567 shares of our Class B common stock.</w:t>
      </w:r>
    </w:p>
    <w:p>
      <w:pPr>
        <w:sectPr>
          <w:pgSz w:w="11900" w:h="16838" w:orient="portrait"/>
          <w:cols w:equalWidth="0" w:num="1">
            <w:col w:w="9019"/>
          </w:cols>
          <w:pgMar w:left="1440" w:top="270" w:right="1440"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79" w:hanging="426"/>
        <w:spacing w:after="0" w:line="261"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most recently available Schedule 13G filed with the SEC on February 9, 2024 by Koller Capital LLC (“Koller”); Koller Microcap Opportunities Fund LP (“Koller Microcap”); and Ross Koller. Koller, Koller Microcap, and Mr. Koller collectively reported beneficial ownership of 3,865,175 shares of our Class B common stock.</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14,750 shares of restricted stock subject to vesting; (2) 639,937 shares of our Class B common stock subject to options that are currently exercisable or exercisable within 60 days of April 10, 2026; (3) 18,100 shares of Class B common stock held in an Individual Retirement Account for the benefit of Mr. Arends; and (4) 6,500 shares of Class B common stock held in an Individual Retirement Account for the benefit of Diana Arends, Mr. Arends’ wife. 1,077,879 shares of such Class B common stock have been pledged as collateral to a third-party lender.</w:t>
      </w:r>
    </w:p>
    <w:p>
      <w:pPr>
        <w:jc w:val="both"/>
        <w:ind w:left="880" w:right="45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140,000 shares of our Class B common stock subject to options that are currently exercisable or exercisable within 60 days of April 10, 2026; (2) 28,500 shares of our Class B common stock held by DMC Investments, LLC, a limited liability company of which Mr. Cline is the managing member; and (3) 10,000 shares of our Class B common stock held by the Colburn Cline Trust for the benefit of Colburn Cline, the son of Mr. Cline, for which shares Mr. Cline disclaims beneficial ownership.</w:t>
      </w:r>
    </w:p>
    <w:p>
      <w:pPr>
        <w:ind w:left="880" w:right="47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140,000 shares of our Class B common stock subject to options that are currently exercisable or exercisable within 60 days of April 10, 2026.</w:t>
      </w:r>
    </w:p>
    <w:p>
      <w:pPr>
        <w:ind w:left="880" w:right="47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10,000 shares of restricted stock that are subject to vesting; and (2) 515,500 shares of our Class B common stock subject to options that are currently exercisable or exercisable within 60 days of April 10, 2026.</w:t>
      </w:r>
    </w:p>
    <w:p>
      <w:pPr>
        <w:ind w:left="880" w:right="47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587,500 shares of our Class B common stock subject to options that are currently exercisable or exercisable within 60 days of April 10, 2026.</w:t>
      </w:r>
    </w:p>
    <w:p>
      <w:pPr>
        <w:jc w:val="both"/>
        <w:ind w:left="880" w:right="45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 4,660,927 shares of our Class A common stock held by MARRCH Investments, LLC; (2) 12,750 shares of restricted stock subject to vesting; (3) 452,937 shares of our Class B common stock subject to options that are currently exercisable or exercisable within 60 days of April 10, 2026; and (4) 5,000 shares of Class B common stock held in an Individual Retirement Account for the benefit of Mr. Horowitz. Mr. Horowitz is the managing member of MARRCH Investments, LLC and, as such, may be deemed to exercise voting and investment power over the shares held by all of these entities.</w:t>
      </w:r>
    </w:p>
    <w:p>
      <w:pPr>
        <w:ind w:left="880" w:right="479" w:hanging="426"/>
        <w:spacing w:after="0" w:line="264" w:lineRule="auto"/>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18,749 shares of our Class B common stock subject to options that are currently exercisable or exercisable within 60 days of April 10, 2026.</w:t>
      </w:r>
    </w:p>
    <w:p>
      <w:pPr>
        <w:jc w:val="both"/>
        <w:ind w:left="880" w:right="479" w:hanging="426"/>
        <w:spacing w:after="0" w:line="276" w:lineRule="auto"/>
        <w:tabs>
          <w:tab w:leader="none" w:pos="8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aggregate of: (1) 4,660,927 shares of our Class A common stock; (2) 37,500 shares of restricted stock that are subject to vesting; and (3) 2,634,623 shares of our Class B common stock subject to options that are currently exercisable or exercisable within 60 days of April 10, 2026.</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 ADJOURNMENT PROPOSAL</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asking you to approve a proposal to approve one or more adjournments of the Special Meeting to a later date or dates if necessary or appropriate to solicit additional proxies if there are insufficient votes to approve the Stock Purchase Proposal at the time of the Special Meeting.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approval of the Stock Purchase Proposal. Among other things, approval of the Adjournment Proposal could mean that, even if we had received proxies representing a sufficient number of votes against approval of the Stock Purchase Agreement such that the Stock Purchase Proposal would be defeated, we could adjourn the Special Meeting without a vote on the approval of the Stock Purchase Agreement and seek to convince the holders of those shares to change their votes to votes in favor of approval of the Stock Purchase Agreement. Additionally, we may seek to adjourn the Special Meeting if a quorum is not present at the Special Meeting.</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Regardless of whether a quorum is present at the Special Meeting, the affirmative vote of the holders of a majority of the voting power of the issued and outstanding shares of our Common Stock entitled to vote, present and voting, or represented by proxy at the Special Meeting, is required to approve the Adjournment Proposal.</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Board believes that it is in the best interests of the Company and its stockholders to be able to adjourn the Special Meeting, if necessary or appropriate, for the purpose of soliciting additional proxies in respect of the proposal to approve the Stock Purchase Agreement if there are insufficient votes to approve the Stock Purchase Agreement at the time of the Special Meeting.</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ADJOURNMENT PROPOSAL.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2026 ANNUAL MEETING OF STOCKHOLDERS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Stockholders are entitled to present proposals for action at a forthcoming meeting if they comply with the requirements of the proxy rules promulgated by the SEC. Proposals of stockholders of the Company intended to be presented for consideration at our 2026 Annual Meeting of Stockholders must be received by the Company no later than July 7, 2026 and must otherwise comply with the requirements of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 order that they may be considered for inclusion in the proxy statement and form of proxy relating to that meeting. Stockholder proposals should be addressed to the attention of the Company’s Corporate Secretary, 1448 NW Market St, Suite 500, Seattle, WA 98107. Stockholders who wish to present a proposal at our 2026 Annual Meeting of Stockholders, other than one that will be included in our proxy materials, should send notice to the Company by October 17, 2026. If a stockholder proposal is not submitted by this date and it is properly brought before our 2026 Annual Meeting of Stockholders, we may exercise voting discretion to vote the proxies that the Board solicits for our 2026 Annual Meeting of Stockholders on such stockholder proposal in accordance with our best judgment. If a stockholder makes a timely notification, the people we name as proxies may still exercise discretionary voting authority under circumstances consistent with the proxy rules of the SEC. The corresponding proposal submission date for our 2025 Annual Meeting of Stockholders was August 30, 2025. We have discretionary authority to vote the proxies that the Board solicits for our 2025 Annual Meeting of Stockholders on any stockholder proposals properly brought before our 2025 Annual Meeting of Stockholders with respect to which the Company was not notified by that date.</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to comply with the universal proxy rules, stockholders who intend to solicit proxies in support of director nominees other than the Company’s nominees in connection with our 2026 Annual Meeting of Stockholders must provide notice that sets forth the information required by Rule 14a-19 under the Exchange Act no later than October 17,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SEC permits companies to send a single Notice, and for those stockholders that elect to receive a paper copy of proxy materials in the mail one copy of this proxy statement, to any household at which two or more stockholders reside, unless contrary instructions have been received, but only if we provide advance notice and follow certain procedures. In such cases, each stockholder continues to receive a separate Notice, and for those stockholders that elect to receive a paper copy of proxy materials in the mail, and this proxy statement. This householding process reduces the volume of duplicate information and reduces printing and mailing expenses.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not instituted householding for stockholders of record; however, certain brokerage firms may have instituted householding for beneficial owners of our Common Stock held through brokerage firms. If your family has multiple accounts holding our Common Stock, you may have already received householding notification from your broker. Please contact your broker directly if you have any questions or require additional copies of the Notice, and this proxy statement. The broker will arrange for delivery of a separate copy of the Notice, and, if so requested, a separate copy of these proxy materials promptly upon your written or oral request. You may decide at any time to revoke your decision to household, and thereby receive multiple copies.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Board is not aware of any other matter other than those set forth in this Proxy Statement that will be presented for action at the Special Meeting. If other matters properly come before the Special Meeting, the persons appointed as proxies intend to vote the shares they represent in accordance with their best judgment in the interest of the Company.</w:t>
      </w:r>
    </w:p>
    <w:p>
      <w:pPr>
        <w:spacing w:after="0" w:line="10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INTEND TO BE PRESENT AT THE SPECIAL MEETING, PLEASE COMPLETE, SIGN, DATE AND RETURN THE ENCLOSED PROXY AT YOUR EARLIEST CONVENIENCE.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 and reporting requirements of the Exchange Act, pursuant to which we file periodic reports, documents and other information with the SEC relating to our business, financial statements and other matters. These reports and other information may be accessed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post the reports and other information we file with or furnish to the SEC on our website,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Proxy Statement documents we have filed with the SEC. This means that we can disclose important information to you by referring you to those documents. The information incorporated by reference is considered to be a part of this Proxy Statement. We incorporate by reference the following documents (each SEC File No. 000-50658):</w:t>
      </w:r>
    </w:p>
    <w:p>
      <w:pPr>
        <w:spacing w:after="0" w:line="112" w:lineRule="exact"/>
        <w:rPr>
          <w:sz w:val="20"/>
          <w:szCs w:val="20"/>
          <w:color w:val="auto"/>
        </w:rPr>
      </w:pPr>
    </w:p>
    <w:p>
      <w:pPr>
        <w:ind w:left="1320" w:right="459" w:hanging="434"/>
        <w:spacing w:after="0" w:line="282" w:lineRule="auto"/>
        <w:tabs>
          <w:tab w:leader="none" w:pos="1315" w:val="left"/>
        </w:tabs>
        <w:numPr>
          <w:ilvl w:val="0"/>
          <w:numId w:val="4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2025, as filed with the SEC </w:t>
      </w:r>
      <w:hyperlink r:id="rId67">
        <w:r>
          <w:rPr>
            <w:rFonts w:ascii="Times New Roman" w:cs="Times New Roman" w:eastAsia="Times New Roman" w:hAnsi="Times New Roman"/>
            <w:sz w:val="18"/>
            <w:szCs w:val="18"/>
            <w:u w:val="single" w:color="auto"/>
            <w:color w:val="0000EE"/>
          </w:rPr>
          <w:t>March 26,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on</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April 17, 2026</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as filed with the SEC on May 14, 2026;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0">
        <w:r>
          <w:rPr>
            <w:rFonts w:ascii="Times New Roman" w:cs="Times New Roman" w:eastAsia="Times New Roman" w:hAnsi="Times New Roman"/>
            <w:sz w:val="18"/>
            <w:szCs w:val="18"/>
            <w:u w:val="single" w:color="auto"/>
            <w:color w:val="0000EE"/>
          </w:rPr>
          <w:t>January 30, 2026</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3">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4">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are not, however, incorporating any documents or information that are deemed to be furnished and not filed in accordance with SEC rules and regulations.</w:t>
      </w:r>
    </w:p>
    <w:p>
      <w:pPr>
        <w:spacing w:after="0" w:line="92" w:lineRule="exact"/>
        <w:rPr>
          <w:rFonts w:ascii="Times New Roman" w:cs="Times New Roman" w:eastAsia="Times New Roman" w:hAnsi="Times New Roman"/>
          <w:sz w:val="18"/>
          <w:szCs w:val="18"/>
          <w:color w:val="0000EE"/>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You may obtain all documents we incorporate by reference through our website,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 xml:space="preserve">, and from the SEC at its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will also provide to each person to whom a proxy statement is delivered, upon written or oral request, any document we incorporate by reference but do not deliver with this Proxy Statement. You may request a copy of these documents by contacting us at Marchex, Inc., 1448 NW Market St, Suite 500, Seattle, Washington 98107 or (206) 331-3300. If so requested, we will provide a copy of the incorporated filings at no cost within one (1) business day.</w:t>
      </w:r>
    </w:p>
    <w:p>
      <w:pPr>
        <w:spacing w:after="0" w:line="103" w:lineRule="exact"/>
        <w:rPr>
          <w:rFonts w:ascii="Times New Roman" w:cs="Times New Roman" w:eastAsia="Times New Roman" w:hAnsi="Times New Roman"/>
          <w:sz w:val="18"/>
          <w:szCs w:val="18"/>
          <w:color w:val="0000EE"/>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Proxy Statement will be deemed to be modified or superseded for purposes of this Proxy Statement to the extent that a statement contained in this Proxy Statement modifies or supersedes the statement. Any statement so modified or superseded will not be deemed, except as so modified or superseded, to constitute a part of this Proxy Statement.</w:t>
      </w:r>
    </w:p>
    <w:p>
      <w:pPr>
        <w:spacing w:after="0" w:line="284" w:lineRule="exact"/>
        <w:rPr>
          <w:rFonts w:ascii="Times New Roman" w:cs="Times New Roman" w:eastAsia="Times New Roman" w:hAnsi="Times New Roman"/>
          <w:sz w:val="18"/>
          <w:szCs w:val="18"/>
          <w:color w:val="0000EE"/>
        </w:rPr>
      </w:pPr>
    </w:p>
    <w:tbl>
      <w:tblPr>
        <w:tblLayout w:type="fixed"/>
        <w:tblInd w:w="46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176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419"/>
        </w:trPr>
        <w:tc>
          <w:tcPr>
            <w:tcW w:w="2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 Francis Feeney</w:t>
            </w:r>
          </w:p>
        </w:tc>
      </w:tr>
      <w:tr>
        <w:trPr>
          <w:trHeight w:val="54"/>
        </w:trPr>
        <w:tc>
          <w:tcPr>
            <w:tcW w:w="27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r>
        <w:trPr>
          <w:trHeight w:val="228"/>
        </w:trPr>
        <w:tc>
          <w:tcPr>
            <w:tcW w:w="2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Francis Feeney</w:t>
            </w:r>
          </w:p>
        </w:tc>
      </w:tr>
      <w:tr>
        <w:trPr>
          <w:trHeight w:val="23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Seattle, Washington</w:t>
            </w:r>
          </w:p>
        </w:tc>
        <w:tc>
          <w:tcPr>
            <w:tcW w:w="17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Chief Legal Officer, and</w:t>
            </w:r>
          </w:p>
        </w:tc>
      </w:tr>
      <w:tr>
        <w:trPr>
          <w:trHeight w:val="234"/>
        </w:trPr>
        <w:tc>
          <w:tcPr>
            <w:tcW w:w="2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432"/>
        </w:trPr>
        <w:tc>
          <w:tcPr>
            <w:tcW w:w="27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w:t>
            </w: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55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UNAUDITED PRO FORMA CONDENSED FINANCIAL INFORMATION</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61"/>
        </w:trPr>
        <w:tc>
          <w:tcPr>
            <w:tcW w:w="55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AUDITED FINANCIAL STATEMENTS OF ARCHENIA, INC. AND SUBSIDIARY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1"/>
        </w:trPr>
        <w:tc>
          <w:tcPr>
            <w:tcW w:w="5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FINANCIAL STATEMENTS OF ARCHENIA, INC. AND SUBSIDIARY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F-23</w:t>
            </w:r>
          </w:p>
        </w:tc>
      </w:tr>
      <w:tr>
        <w:trPr>
          <w:trHeight w:val="61"/>
        </w:trPr>
        <w:tc>
          <w:tcPr>
            <w:tcW w:w="55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1"/>
        </w:trPr>
        <w:tc>
          <w:tcPr>
            <w:tcW w:w="7280" w:type="dxa"/>
            <w:vAlign w:val="bottom"/>
            <w:tcBorders>
              <w:bottom w:val="single" w:sz="8" w:color="auto"/>
            </w:tcBorders>
            <w:gridSpan w:val="4"/>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information is derived from the historical consolidated financial statements of Marchex, Inc. (“</w:t>
      </w:r>
      <w:r>
        <w:rPr>
          <w:rFonts w:ascii="Times New Roman" w:cs="Times New Roman" w:eastAsia="Times New Roman" w:hAnsi="Times New Roman"/>
          <w:sz w:val="18"/>
          <w:szCs w:val="18"/>
          <w:u w:val="single" w:color="auto"/>
          <w:color w:val="auto"/>
        </w:rPr>
        <w:t>Marchex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and for the quarterly period ended March 31, 2026, which are incorporated by reference herein. The pro forma adjustments give effect to the Company’s purchase from the stockholders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of Archenia, Inc. (“</w:t>
      </w:r>
      <w:r>
        <w:rPr>
          <w:rFonts w:ascii="Times New Roman" w:cs="Times New Roman" w:eastAsia="Times New Roman" w:hAnsi="Times New Roman"/>
          <w:sz w:val="18"/>
          <w:szCs w:val="18"/>
          <w:u w:val="single" w:color="auto"/>
          <w:color w:val="auto"/>
        </w:rPr>
        <w:t>Archenia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100% of the outstanding shares of capital stock of Archenia, upon the terms and subject to the conditions of the Stock Purchase Agreement between the Company and Sellers dated May 8, 2026 (the “</w:t>
      </w:r>
      <w:r>
        <w:rPr>
          <w:rFonts w:ascii="Times New Roman" w:cs="Times New Roman" w:eastAsia="Times New Roman" w:hAnsi="Times New Roman"/>
          <w:sz w:val="18"/>
          <w:szCs w:val="18"/>
          <w:u w:val="single" w:color="auto"/>
          <w:color w:val="auto"/>
        </w:rPr>
        <w:t>Stock Purchase Agreement</w:t>
      </w:r>
      <w:r>
        <w:rPr>
          <w:rFonts w:ascii="Times New Roman" w:cs="Times New Roman" w:eastAsia="Times New Roman" w:hAnsi="Times New Roman"/>
          <w:sz w:val="18"/>
          <w:szCs w:val="18"/>
          <w:color w:val="auto"/>
        </w:rPr>
        <w:t>”), as described below.</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 and Accounting Treatment</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transaction contemplated by the Stock Purchase Agreement between Marchex and Archenia is considered a transaction between entities under common control for accounting purposes under U.S. Generally Accepted Accounting Principles. Accordingly, the transaction is not accounted for as a business combination under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805, Business Combinations, which applies when an acquirer obtains control of a business.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Instead, transactions between entities under common control are governed by ASC 805-50, Transactions Between Entities Under Common Control, which requires that Archenia’s net assets transferred be recognized at their historical carrying amounts, reflecting the basis of accounting of the ultimate controlling party.</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Marchex and Archenia have been under the control of the same controlling shareholders both prior to and after the consummation of the transaction, there is no substantive change in control over the underlying net assets. As a result, the transaction is accounted for as a reorganization among entities under common control, rather than as the acquisition of one entity by another.</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such, these unaudited pro forma condensed consolidated financial statements do not include adjustments to reflect the following:</w:t>
      </w:r>
    </w:p>
    <w:p>
      <w:pPr>
        <w:spacing w:after="0" w:line="94" w:lineRule="exact"/>
        <w:rPr>
          <w:sz w:val="20"/>
          <w:szCs w:val="20"/>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goodwill or other intangible assets have been recognized;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step-up to fair value of acquired assets and liabilities.</w:t>
      </w:r>
    </w:p>
    <w:p>
      <w:pPr>
        <w:spacing w:after="0" w:line="15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balance sheet as of March 31, 2026, is presented to reflect adjustments to Marchex’s balance sheet as if the Transaction were completed on March 31, 2026.</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for the year ended December 31, 2025 and the quarterly period ended March 31, 2026 is presented as if the Transaction were completed on January 1, 2025.</w:t>
      </w:r>
    </w:p>
    <w:p>
      <w:pPr>
        <w:spacing w:after="0" w:line="8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consolidated financial statements should be read in conjunction with:</w:t>
      </w:r>
    </w:p>
    <w:p>
      <w:pPr>
        <w:spacing w:after="0" w:line="94"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consolidated financial information;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annual consolidated financial statements and the unaudited interim financial statements, in each case including the accompanying notes of Marchex, Inc., incorporated by reference herein;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annual consolidated financial statements and the unaudited interim financial statements, in each case including the accompanying notes of Archenia, Inc., attached hereto as incorporated by reference herein.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consolidated financial data has been presented for informational purposes only. The assumptions used and pro forma adjustments derived from such assumptions are based on currently available information, and the Company believes such assumptions are reasonable under the circumstances. The pro forma data is not necessarily indicative of our results of operations or financial condition had the Transaction been completed on the dates assumed. In addition, they are not necessarily indicative of our future results of operations or financial condition.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Marchex and Archenia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9" w:lineRule="exact"/>
        <w:rPr>
          <w:sz w:val="20"/>
          <w:szCs w:val="20"/>
          <w:color w:val="auto"/>
        </w:rPr>
      </w:pPr>
    </w:p>
    <w:p>
      <w:pPr>
        <w:ind w:left="3320"/>
        <w:spacing w:after="0"/>
        <w:tabs>
          <w:tab w:leader="none" w:pos="4520" w:val="left"/>
          <w:tab w:leader="none" w:pos="5860" w:val="left"/>
          <w:tab w:leader="none" w:pos="7500" w:val="left"/>
        </w:tabs>
        <w:rPr>
          <w:sz w:val="20"/>
          <w:szCs w:val="20"/>
          <w:color w:val="auto"/>
        </w:rPr>
      </w:pPr>
      <w:r>
        <w:rPr>
          <w:rFonts w:ascii="Times New Roman" w:cs="Times New Roman" w:eastAsia="Times New Roman" w:hAnsi="Times New Roman"/>
          <w:sz w:val="16"/>
          <w:szCs w:val="16"/>
          <w:b w:val="1"/>
          <w:bCs w:val="1"/>
          <w:color w:val="auto"/>
        </w:rPr>
        <w:t>Marchex, Inc.</w:t>
        <w:tab/>
        <w:t>Archenia, Inc.</w:t>
      </w:r>
      <w:r>
        <w:rPr>
          <w:sz w:val="20"/>
          <w:szCs w:val="20"/>
          <w:color w:val="auto"/>
        </w:rPr>
        <w:tab/>
      </w:r>
      <w:r>
        <w:rPr>
          <w:rFonts w:ascii="Times New Roman" w:cs="Times New Roman" w:eastAsia="Times New Roman" w:hAnsi="Times New Roman"/>
          <w:sz w:val="16"/>
          <w:szCs w:val="16"/>
          <w:b w:val="1"/>
          <w:bCs w:val="1"/>
          <w:color w:val="auto"/>
        </w:rPr>
        <w:t>Pro Forma</w:t>
      </w:r>
      <w:r>
        <w:rPr>
          <w:sz w:val="20"/>
          <w:szCs w:val="20"/>
          <w:color w:val="auto"/>
        </w:rPr>
        <w:tab/>
      </w:r>
      <w:r>
        <w:rPr>
          <w:rFonts w:ascii="Times New Roman" w:cs="Times New Roman" w:eastAsia="Times New Roman" w:hAnsi="Times New Roman"/>
          <w:sz w:val="16"/>
          <w:szCs w:val="16"/>
          <w:b w:val="1"/>
          <w:bCs w:val="1"/>
          <w:color w:val="auto"/>
        </w:rPr>
        <w:t>Pro Forma</w:t>
      </w:r>
    </w:p>
    <w:p>
      <w:pPr>
        <w:spacing w:after="0" w:line="28" w:lineRule="exact"/>
        <w:rPr>
          <w:sz w:val="20"/>
          <w:szCs w:val="20"/>
          <w:color w:val="auto"/>
        </w:rPr>
      </w:pPr>
    </w:p>
    <w:p>
      <w:pPr>
        <w:jc w:val="both"/>
        <w:ind w:left="3480"/>
        <w:spacing w:after="0"/>
        <w:tabs>
          <w:tab w:leader="none" w:pos="4700" w:val="left"/>
          <w:tab w:leader="none" w:pos="5820" w:val="left"/>
          <w:tab w:leader="none" w:pos="7540" w:val="left"/>
        </w:tabs>
        <w:rPr>
          <w:sz w:val="20"/>
          <w:szCs w:val="20"/>
          <w:color w:val="auto"/>
        </w:rPr>
      </w:pPr>
      <w:r>
        <w:rPr>
          <w:rFonts w:ascii="Times New Roman" w:cs="Times New Roman" w:eastAsia="Times New Roman" w:hAnsi="Times New Roman"/>
          <w:sz w:val="16"/>
          <w:szCs w:val="16"/>
          <w:b w:val="1"/>
          <w:bCs w:val="1"/>
          <w:color w:val="auto"/>
        </w:rPr>
        <w:t>Historical</w:t>
      </w:r>
      <w:r>
        <w:rPr>
          <w:sz w:val="20"/>
          <w:szCs w:val="20"/>
          <w:color w:val="auto"/>
        </w:rPr>
        <w:tab/>
      </w:r>
      <w:r>
        <w:rPr>
          <w:rFonts w:ascii="Times New Roman" w:cs="Times New Roman" w:eastAsia="Times New Roman" w:hAnsi="Times New Roman"/>
          <w:sz w:val="16"/>
          <w:szCs w:val="16"/>
          <w:b w:val="1"/>
          <w:bCs w:val="1"/>
          <w:color w:val="auto"/>
        </w:rPr>
        <w:t>Historical</w:t>
      </w:r>
      <w:r>
        <w:rPr>
          <w:sz w:val="20"/>
          <w:szCs w:val="20"/>
          <w:color w:val="auto"/>
        </w:rPr>
        <w:tab/>
      </w:r>
      <w:r>
        <w:rPr>
          <w:rFonts w:ascii="Times New Roman" w:cs="Times New Roman" w:eastAsia="Times New Roman" w:hAnsi="Times New Roman"/>
          <w:sz w:val="16"/>
          <w:szCs w:val="16"/>
          <w:b w:val="1"/>
          <w:bCs w:val="1"/>
          <w:color w:val="auto"/>
        </w:rPr>
        <w:t>Adjustments</w:t>
      </w:r>
      <w:r>
        <w:rPr>
          <w:sz w:val="20"/>
          <w:szCs w:val="20"/>
          <w:color w:val="auto"/>
        </w:rPr>
        <w:tab/>
      </w:r>
      <w:r>
        <w:rPr>
          <w:rFonts w:ascii="Times New Roman" w:cs="Times New Roman" w:eastAsia="Times New Roman" w:hAnsi="Times New Roman"/>
          <w:sz w:val="16"/>
          <w:szCs w:val="16"/>
          <w:b w:val="1"/>
          <w:bCs w:val="1"/>
          <w:color w:val="auto"/>
        </w:rPr>
        <w:t>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00" w:type="dxa"/>
            <w:vAlign w:val="bottom"/>
            <w:vMerge w:val="continue"/>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38,546</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Accrued benefits and payroll</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current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deposits</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loans and other amounts</w:t>
            </w:r>
          </w:p>
        </w:tc>
        <w:tc>
          <w:tcPr>
            <w:tcW w:w="22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2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80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361,544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(333,137)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28,852</w:t>
            </w:r>
          </w:p>
        </w:tc>
        <w:tc>
          <w:tcPr>
            <w:tcW w:w="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38,546</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line="20" w:lineRule="exact"/>
              <w:rPr>
                <w:sz w:val="1"/>
                <w:szCs w:val="1"/>
                <w:color w:val="auto"/>
              </w:rPr>
            </w:pPr>
          </w:p>
        </w:tc>
      </w:tr>
      <w:tr>
        <w:trPr>
          <w:trHeight w:val="379"/>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-5665470</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-5305425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-4585335</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-4225290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-3385185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-2905760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-2185670</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-1825625</wp:posOffset>
            </wp:positionV>
            <wp:extent cx="514350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-1105535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-745490</wp:posOffset>
            </wp:positionV>
            <wp:extent cx="514350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-1465580</wp:posOffset>
            </wp:positionV>
            <wp:extent cx="514350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-2545715</wp:posOffset>
            </wp:positionV>
            <wp:extent cx="514350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-3865880</wp:posOffset>
            </wp:positionV>
            <wp:extent cx="514350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-4946015</wp:posOffset>
            </wp:positionV>
            <wp:extent cx="514350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1,847</w:t>
            </w:r>
          </w:p>
        </w:tc>
        <w:tc>
          <w:tcPr>
            <w:tcW w:w="260" w:type="dxa"/>
            <w:vAlign w:val="bottom"/>
          </w:tcPr>
          <w:p>
            <w:pPr>
              <w:spacing w:after="0"/>
              <w:rPr>
                <w:sz w:val="24"/>
                <w:szCs w:val="24"/>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2,426</w:t>
            </w: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2,491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Pr>
          <w:p>
            <w:pPr>
              <w:spacing w:after="0"/>
              <w:rPr>
                <w:sz w:val="24"/>
                <w:szCs w:val="24"/>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00" w:type="dxa"/>
            <w:vAlign w:val="bottom"/>
            <w:vMerge w:val="continue"/>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2,334</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4,316</w:t>
            </w: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3,786</w:t>
            </w:r>
          </w:p>
        </w:tc>
        <w:tc>
          <w:tcPr>
            <w:tcW w:w="260" w:type="dxa"/>
            <w:vAlign w:val="bottom"/>
          </w:tcPr>
          <w:p>
            <w:pPr>
              <w:spacing w:after="0"/>
              <w:rPr>
                <w:sz w:val="24"/>
                <w:szCs w:val="24"/>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(5,611)</w:t>
            </w:r>
          </w:p>
        </w:tc>
        <w:tc>
          <w:tcPr>
            <w:tcW w:w="26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(338,748)</w:t>
            </w:r>
          </w:p>
        </w:tc>
        <w:tc>
          <w:tcPr>
            <w:tcW w:w="0" w:type="dxa"/>
            <w:vAlign w:val="bottom"/>
          </w:tcPr>
          <w:p>
            <w:pPr>
              <w:spacing w:after="0"/>
              <w:rPr>
                <w:sz w:val="1"/>
                <w:szCs w:val="1"/>
                <w:color w:val="auto"/>
              </w:rPr>
            </w:pPr>
          </w:p>
        </w:tc>
      </w:tr>
      <w:tr>
        <w:trPr>
          <w:trHeight w:val="27"/>
        </w:trPr>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5"/>
              </w:rPr>
              <w:t>(1,825)</w:t>
            </w: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2,491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-25400</wp:posOffset>
            </wp:positionV>
            <wp:extent cx="6343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-8255</wp:posOffset>
            </wp:positionV>
            <wp:extent cx="6343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-316865</wp:posOffset>
            </wp:positionV>
            <wp:extent cx="6343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-3625215</wp:posOffset>
            </wp:positionV>
            <wp:extent cx="634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-3796665</wp:posOffset>
            </wp:positionV>
            <wp:extent cx="634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2">
            <w:col w:w="4620" w:space="400"/>
            <w:col w:w="399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Marchex and Archenia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Marchex, Inc.</w:t>
            </w: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Archenia, Inc.</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27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17,973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63,303</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12,801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29,427</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capitalized software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Pr>
          <w:p>
            <w:pPr>
              <w:spacing w:after="0"/>
              <w:rPr>
                <w:sz w:val="21"/>
                <w:szCs w:val="21"/>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14,409</w:t>
            </w: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11,459</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12,147</w:t>
            </w: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settlement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68,881</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(expense) and other,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8"/>
        </w:trPr>
        <w:tc>
          <w:tcPr>
            <w:tcW w:w="27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loss per</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and Class B share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to common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4"/>
                <w:szCs w:val="24"/>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158"/>
        </w:trPr>
        <w:tc>
          <w:tcPr>
            <w:tcW w:w="278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Shares used to calculated basic net</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per share applicable to</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39,199</w:t>
            </w:r>
          </w:p>
        </w:tc>
        <w:tc>
          <w:tcPr>
            <w:tcW w:w="0" w:type="dxa"/>
            <w:vAlign w:val="bottom"/>
          </w:tcPr>
          <w:p>
            <w:pPr>
              <w:spacing w:after="0"/>
              <w:rPr>
                <w:sz w:val="1"/>
                <w:szCs w:val="1"/>
                <w:color w:val="auto"/>
              </w:rPr>
            </w:pPr>
          </w:p>
        </w:tc>
      </w:tr>
      <w:tr>
        <w:trPr>
          <w:trHeight w:val="392"/>
        </w:trPr>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Marchex and Archenia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Combined Statement of Operations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Marchex, Inc.</w:t>
            </w: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Archenia, Inc.</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6"/>
        </w:trPr>
        <w:tc>
          <w:tcPr>
            <w:tcW w:w="27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14,447</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6,888</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capitalized software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15,817</w:t>
            </w:r>
          </w:p>
        </w:tc>
        <w:tc>
          <w:tcPr>
            <w:tcW w:w="0" w:type="dxa"/>
            <w:vAlign w:val="bottom"/>
          </w:tcPr>
          <w:p>
            <w:pPr>
              <w:spacing w:after="0"/>
              <w:rPr>
                <w:sz w:val="1"/>
                <w:szCs w:val="1"/>
                <w:color w:val="auto"/>
              </w:rPr>
            </w:pPr>
          </w:p>
        </w:tc>
      </w:tr>
      <w:tr>
        <w:trPr>
          <w:trHeight w:val="22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(expense) and other,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Basic and diluted net loss per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and Class B share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 to common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Shares used to calculated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applicable to</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1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39,301</w:t>
            </w:r>
          </w:p>
        </w:tc>
        <w:tc>
          <w:tcPr>
            <w:tcW w:w="0" w:type="dxa"/>
            <w:vAlign w:val="bottom"/>
          </w:tcPr>
          <w:p>
            <w:pPr>
              <w:spacing w:after="0"/>
              <w:rPr>
                <w:sz w:val="1"/>
                <w:szCs w:val="1"/>
                <w:color w:val="auto"/>
              </w:rPr>
            </w:pPr>
          </w:p>
        </w:tc>
      </w:tr>
      <w:tr>
        <w:trPr>
          <w:trHeight w:val="432"/>
        </w:trPr>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Marchex and Archenia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Condensed Financial Information</w:t>
      </w:r>
    </w:p>
    <w:p>
      <w:pPr>
        <w:spacing w:after="0" w:line="126" w:lineRule="exact"/>
        <w:rPr>
          <w:sz w:val="20"/>
          <w:szCs w:val="20"/>
          <w:color w:val="auto"/>
        </w:rPr>
      </w:pPr>
    </w:p>
    <w:p>
      <w:pPr>
        <w:ind w:left="880" w:right="479" w:hanging="426"/>
        <w:spacing w:after="0" w:line="282" w:lineRule="auto"/>
        <w:tabs>
          <w:tab w:leader="none" w:pos="8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intercompany receivables and payables between Marchex and Archenia related to the Company’s services agreement.</w:t>
      </w:r>
    </w:p>
    <w:p>
      <w:pPr>
        <w:spacing w:after="0" w:line="94" w:lineRule="exact"/>
        <w:rPr>
          <w:rFonts w:ascii="Times New Roman" w:cs="Times New Roman" w:eastAsia="Times New Roman" w:hAnsi="Times New Roman"/>
          <w:sz w:val="18"/>
          <w:szCs w:val="18"/>
          <w:color w:val="auto"/>
        </w:rPr>
      </w:pPr>
    </w:p>
    <w:p>
      <w:pPr>
        <w:jc w:val="both"/>
        <w:ind w:left="880" w:right="479" w:hanging="426"/>
        <w:spacing w:after="0" w:line="266" w:lineRule="auto"/>
        <w:tabs>
          <w:tab w:leader="none" w:pos="8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convertible promissory note of $10 million to be issued to the Seller of Archenia as part of the Stock Purchase Agreement. The pro forma balance sheet assumes the agreement was completed on March 31, 2026.</w:t>
      </w:r>
    </w:p>
    <w:p>
      <w:pPr>
        <w:spacing w:after="0" w:line="108" w:lineRule="exact"/>
        <w:rPr>
          <w:rFonts w:ascii="Times New Roman" w:cs="Times New Roman" w:eastAsia="Times New Roman" w:hAnsi="Times New Roman"/>
          <w:sz w:val="18"/>
          <w:szCs w:val="18"/>
          <w:color w:val="auto"/>
        </w:rPr>
      </w:pPr>
    </w:p>
    <w:p>
      <w:pPr>
        <w:jc w:val="both"/>
        <w:ind w:left="880" w:right="459" w:hanging="426"/>
        <w:spacing w:after="0" w:line="266" w:lineRule="auto"/>
        <w:tabs>
          <w:tab w:leader="none" w:pos="8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interest accrued at 6% on the convertible promissory note of $10 million to be issued to the Seller of Archenia as part of the Stock Purchase Agreement. The pro forma statement of operations and impact of the accrued interest assumes the agreement was completed as of January 1, 2025.</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revenue and operating expenses related to the Company’s services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FINANCIAL STATEMENTS OF 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Archenia, Inc.</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of Archenia, Inc. and its subsidiary (the Company), which comprise the consolidated balance sheet as of December 31, 2025, and the related consolidated statement of operations, statement of stockholders’ deficit, and cash flows for the year then ended, and the related notes to the consolidated financial statements (collectively, the financial statements).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the results of their operations and their cash flows for the year then ended in accordance with accounting principles generally accepted in the United States of America.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58" w:lineRule="exact"/>
        <w:rPr>
          <w:sz w:val="20"/>
          <w:szCs w:val="20"/>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RSM US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 Angeles, CA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May 8,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ARCHENIA, INC. AND SUBSIDIARY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Dollars)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358,264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96,942</w:t>
            </w:r>
          </w:p>
        </w:tc>
        <w:tc>
          <w:tcPr>
            <w:tcW w:w="0" w:type="dxa"/>
            <w:vAlign w:val="bottom"/>
          </w:tcPr>
          <w:p>
            <w:pPr>
              <w:spacing w:after="0"/>
              <w:rPr>
                <w:sz w:val="1"/>
                <w:szCs w:val="1"/>
                <w:color w:val="auto"/>
              </w:rPr>
            </w:pPr>
          </w:p>
        </w:tc>
      </w:tr>
      <w:tr>
        <w:trPr>
          <w:trHeight w:val="22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2,477,222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78,131</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2,556,791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1,475,669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601,677</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2,077,346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 loans and other amounts</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2,266,439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4,343,785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See Note 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authorized 1,000 shares; 0 issued and outstanding at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authorized 9,000 shares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4,000 shares authorized; 0 and 223 issued and outstanding at December 31, 2025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5,000 shares authorized; 5,000 issued and outstanding at December 31, 2025 and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3,738,786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(5,525,830)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(1,786,994</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2,556,791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ARCHENIA, INC. AND SUBSIDIARY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Dollars)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17,972,555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12,800,584</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1,880,522</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1,712,491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1,433,241</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17,826,838</w:t>
            </w: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from shareholder loans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(269,545)</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(123,828)</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(131,249</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Dollars)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920" w:type="dxa"/>
            <w:vAlign w:val="bottom"/>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3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460" w:type="dxa"/>
            <w:vAlign w:val="bottom"/>
          </w:tcPr>
          <w:p>
            <w:pPr>
              <w:spacing w:after="0"/>
              <w:rPr>
                <w:sz w:val="5"/>
                <w:szCs w:val="5"/>
                <w:color w:val="auto"/>
              </w:rPr>
            </w:pP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5,000</w:t>
            </w:r>
          </w:p>
        </w:tc>
        <w:tc>
          <w:tcPr>
            <w:tcW w:w="420" w:type="dxa"/>
            <w:vAlign w:val="bottom"/>
            <w:tcBorders>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$ 4,151,368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(5,394,581)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 (1,243,161)</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Class B common</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(602,750)</w:t>
            </w:r>
          </w:p>
        </w:tc>
        <w:tc>
          <w:tcPr>
            <w:tcW w:w="8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(602,752)</w:t>
            </w: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compensation from</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options</w:t>
            </w: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(131,249)</w:t>
            </w:r>
          </w:p>
        </w:tc>
        <w:tc>
          <w:tcPr>
            <w:tcW w:w="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(131,249)</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5,000</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$ 3,738,786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(5,525,830)</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 (1,786,994)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ARCHENIA, INC. AND SUBSIDIARY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Cash Flows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Dollars)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(131,249)</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64,651</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doubtful accounts and advertiser credits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137,700</w:t>
            </w: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21"/>
                <w:szCs w:val="21"/>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190,168</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certain assets and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(819,301)</w:t>
            </w:r>
          </w:p>
        </w:tc>
      </w:tr>
      <w:tr>
        <w:trPr>
          <w:trHeight w:val="41"/>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49,322</w:t>
            </w:r>
          </w:p>
        </w:tc>
      </w:tr>
      <w:tr>
        <w:trPr>
          <w:trHeight w:val="243"/>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1"/>
                <w:szCs w:val="21"/>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(392,481)</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Shareholder loans and other amounts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(119,504)</w:t>
            </w:r>
          </w:p>
        </w:tc>
      </w:tr>
      <w:tr>
        <w:trPr>
          <w:trHeight w:val="257"/>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(248,076)</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(1,268,770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(6,154)</w:t>
            </w:r>
          </w:p>
        </w:tc>
      </w:tr>
      <w:tr>
        <w:trPr>
          <w:trHeight w:val="237"/>
        </w:trPr>
        <w:tc>
          <w:tcPr>
            <w:tcW w:w="6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Class B common stock for treasury stock</w:t>
            </w:r>
          </w:p>
        </w:tc>
        <w:tc>
          <w:tcPr>
            <w:tcW w:w="100" w:type="dxa"/>
            <w:vAlign w:val="bottom"/>
          </w:tcPr>
          <w:p>
            <w:pPr>
              <w:spacing w:after="0"/>
              <w:rPr>
                <w:sz w:val="22"/>
                <w:szCs w:val="22"/>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(602,750)</w:t>
            </w: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(602,750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(1,877,674)</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2,235,938</w:t>
            </w: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358,264</w:t>
            </w:r>
          </w:p>
        </w:tc>
        <w:tc>
          <w:tcPr>
            <w:tcW w:w="140" w:type="dxa"/>
            <w:vAlign w:val="bottom"/>
            <w:tcBorders>
              <w:bottom w:val="single" w:sz="8" w:color="CCEEFF"/>
            </w:tcBorders>
          </w:tcPr>
          <w:p>
            <w:pPr>
              <w:spacing w:after="0"/>
              <w:rPr>
                <w:sz w:val="24"/>
                <w:szCs w:val="24"/>
                <w:color w:val="auto"/>
              </w:rPr>
            </w:pPr>
          </w:p>
        </w:tc>
      </w:tr>
      <w:tr>
        <w:trPr>
          <w:trHeight w:val="251"/>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8,780</w:t>
            </w: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389,049</w:t>
            </w:r>
          </w:p>
        </w:tc>
      </w:tr>
      <w:tr>
        <w:trPr>
          <w:trHeight w:val="40"/>
        </w:trPr>
        <w:tc>
          <w:tcPr>
            <w:tcW w:w="6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Archenia, Inc. and its wholly owned subsidiary, Jingle Networks, Inc. (“Archenia” or the “Company”) are a performance-based marketing technology company focused on customer qualification and acquisition. The Company transforms consumer intent into Artificial Intelligence (“AI”)-verified, outcome-based results by leveraging AI, natural-language analytics, and automated decisioning to identify and deliver high-intent consumer interactions to advertisers. Archenia was formed in 2020.</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allowance for credit losses, allowance for advertiser credits, useful lives for property and equipment, the fair value of stock options awards, and the valuation allowance for deferred tax assets. Actual results could differ from those estimates.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certain cases, the Company records revenue based on available and reported preliminary information from third parties. Collection on the related receivables may vary from reported information based upon third party refinement of the estimated and reported amounts owed that occurs subsequent to the end of a reporting period.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Cash and Cash Equivalents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The Company maintains cash balances with large financial institutions in excess of federally insured limits.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Fair Value of Financial Instruments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had the following financial instruments as of December 31, 2025: cash and cash equivalents, accounts receivable, refundable taxes, accounts payable, shareholder loans, and accrued liabilities. The carrying value of these financial instruments approximates their fair value based on the nature and liquidity of these financial instruments.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Accounts receivable balances are presented net of allowance for doubtful accounts and allowance for advertiser credits.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probable credit losses in existing accounts receivable. The Company determines the allowance based on analysis of historical bad debts, advertiser concentrations, advertiser credit-worthiness and current economic trends. Past due balances over 90 days and specific other balances are reviewed individually for collectability. The Company reviews the allowance for collectability quarterly. Account balances are written off against the allowance after all means of collection have been exhausted and the potential for recovery is considered remote. As of December 31, 2025 and 2024, the allowance for credit losses was $137,700 and $0, respectively. There were no charge-offs or recoveries of accounts receivable during the year.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Allowance for Advertiser Credits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allowance for advertiser credits is the Company’s best estimate of the amount of expected future reductions in advertisers’ payment obligations related to delivered services. The Company determines the allowance for advertiser credits and adjustments based on analysis of historical credits.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Depreciation on computers and other related equipment, purchased and internally developed software, and furniture and fixtures is calculated on the straight-line method over the estimated useful lives of the assets, generally averaging three years.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 Revenue Recognition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 derives revenue primarily from providing performance-based customer acquisition, lead qualification, and related data and analytics services to advertisers and marketing partners. These services are delivered through the Company’s proprietary technology platform and related operational processes. Revenue is recognized as the Company satisfies its performance obligations by transferring control of the promised services to the customer. The Company’s revenue arrangements generally consist of contracts with customers to deliver qualified, outcome-based consumer interactions, which may include:</w:t>
      </w:r>
    </w:p>
    <w:p>
      <w:pPr>
        <w:spacing w:after="0" w:line="106"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AI-validated inbound phone calls or conversations;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leads or appointments meeting defined customer criteria;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analytics, reporting, and campaign management services.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Contracts typically define specific qualification thresholds or outcome criteria that must be met for the Company to be entitled to consideration. The Company’s contracts generally contain a single performance obligation, which is to deliver qualified outcomes or consumer interactions that meet contractual criteria over the contract term. The Company has concluded that the individual qualified interactions or outcomes are substantially the same and are transferred to the customer in a series. Accordingly, the Company accounts for these services as a series of distinct services that are substantially the same and have the same pattern of transfer, and therefore constitute a single performance obligation under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transaction price is generally variable and is based on:</w:t>
      </w:r>
    </w:p>
    <w:p>
      <w:pPr>
        <w:spacing w:after="0" w:line="121" w:lineRule="exact"/>
        <w:rPr>
          <w:sz w:val="20"/>
          <w:szCs w:val="20"/>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qualified outcomes delivered;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defined rates per qualified interaction or outcome.</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estimates variable consideration using the expected value method, as it better predicts the amount of consideration to which the Company will be entitled. Variable consideration is included in the transaction price only to the extent that it is probable that a significant reversal of cumulative revenue recognized will not occur when the uncertainty associated with the variable consideration is resolved.</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Contracts generally do not include significant financing components, as payment terms are typically short-term in nature. Because the Company’s contracts generally include a single performance obligation, the entire transaction price is allocated to that performance obligation. Revenue is recognized over time as the Company satisfies its performance obligation by delivering qualified outcomes or consumer interactions to customers.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customers are invoiced on a monthly basis following the month of the delivery of services and are required to make payments under standard credit terms.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 Cost of Revenue</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largest component of the Company’s cost of revenue consists of user acquisition costs, which relate primarily to payments made to third-party distribution partners for access to their mobile, online, and other consumer traffic sources used to generate qualified customer interactions. The Company enters into agreements of varying durations with distribution partners that integrate the Company’s services into their platforms, websites, and other distribution channels. These arrangements are designed to deliver consumer interactions that meet contractually defined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qualification criteria. The primary payment structure under the Company’s distribution partner agreements is variable consideration based on a specified percentage of revenue generated from qualified outcomes delivered to customers. In certain arrangements, variable payments are subject to minimum payment thresholds per qualified interaction, such as a phone call or other defined action.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Cost of revenue also includes network operations and customer service costs, which consist primarily of costs incurred to provide the Company’s performance-based advertising and customer acquisition services. These costs include network and infrastructure costs; fees paid to third-party service providers that support campaign execution, qualification, analytics, and reporting; customer service and quality assurance costs; and personnel-related costs for employees directly involved in delivering customer acquisition services, including salaries, benefits, payroll taxes, and stock-based compensation.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 Advertising Expenses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include mobile and online advertising and related outside marketing activities, including sponsorships and trade shows. Such costs are included in sales and marketing and were $136,531 for the year ended December 31,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 Product Development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 xml:space="preserve">Product development costs consist primarily of expenses incurred by the Company in the research and development (“R&amp;D”), creation, and enhancement of the Company’s products and services. R&amp;D costs are expensed as incurred and include compensation and related expenses, costs of computer hardware and software, and costs incurred in developing features and functionality of the services. For the periods presented, substantially all of the product development expenses are R&amp;D. Other product development costs are expensed as incurred or capitalized into property and equipment in accordance with ASC 350,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color w:val="auto"/>
        </w:rPr>
        <w:t>, which requires that costs incurred in the preliminary project and post-implementation stages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use software project be expensed as incurred and that certain costs incurred in the application development stage of a project be capitalized.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 Income Taxes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 Stock-Based Compensation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compensation cost at the grant date based on the fair value of the award and recognizes it as expense, net of estimated forfeitures, over the vesting or service period, as applicable, of the stock award using the straight-line method.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 Concentrations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maintains substantially all of its cash and cash equivalents with one financial institution and are all considered at Level 1 fair value with observable inputs that reflect quoted prices for identical assets or liabilities in active markets.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customers representing more than 10% of consolidated revenue and accounts receivable are as follows (in percentages):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Accounts</w:t>
            </w:r>
          </w:p>
        </w:tc>
      </w:tr>
      <w:tr>
        <w:trPr>
          <w:trHeight w:val="212"/>
        </w:trPr>
        <w:tc>
          <w:tcPr>
            <w:tcW w:w="556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Receivable</w:t>
            </w: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 Liquidity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2025, the Company reported a net loss and cash used in operations, and has a stockholders’ deficit as of December 31, 2025, however, based on our operating plans we believe that our resources will be sufficient to fund our operations, including any investments in strategic initiatives, for at least twelve months from May 8, 2026, the date of financial statement issuance. The Company considers any substantial doubt raised from our net loss from operations, which were largely driven due to non-cash charges including depreciation and stock-based compensation, to be alleviated by management’s future operating plans, which consist of strategies for product innovation, increased sales, and cost cutting and efficiency efforts. When evaluating the Company’s ability to continue as a going concern, management analyzed our working capital and cash position, positive momentum at the end of the year ended December 31, 2025, operating performance, and absence of any internal or external matters outstanding that would cause operating plans to be significantly revised.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 Related Parties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Certain shareholders of the Company are considered related parties. During the year ended December 31, 2025, the Company entered into transactions with entities and individuals that are owned or controlled by, or otherwise affiliated with, these shareholders.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made payments to related parties primarily for professional and shared service, which were recorded as operating expenses in the Consolidated Statement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Total expenses during the year ended December 31, 2025 were $269,981 and recorded in general and administrative expenses, of which $78,892 was payable as of December 31, 2025 and recorded in accounts payable.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enter into any other material related party transactions during the year.</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 Recent Accounting Pronouncement Not Yet Effective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Improvements to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Disclosures</w:t>
      </w:r>
      <w:r>
        <w:rPr>
          <w:rFonts w:ascii="Times New Roman" w:cs="Times New Roman" w:eastAsia="Times New Roman" w:hAnsi="Times New Roman"/>
          <w:sz w:val="18"/>
          <w:szCs w:val="18"/>
          <w:color w:val="auto"/>
        </w:rPr>
        <w:t>, which requires entities to disclose disaggregated information about their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as well as information on income taxes paid. ASU 2023-09 is effective for annual periods beginning after December 15, 2025 and may be applied on a prospective basis, with early adoption permitted. The Company is currently assessing the impact of this ASU on its Consolidated Financial Statements.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Accounting for Internal-Use Software,</w:t>
      </w:r>
      <w:r>
        <w:rPr>
          <w:rFonts w:ascii="Times New Roman" w:cs="Times New Roman" w:eastAsia="Times New Roman" w:hAnsi="Times New Roman"/>
          <w:sz w:val="18"/>
          <w:szCs w:val="18"/>
          <w:color w:val="auto"/>
        </w:rPr>
        <w:t xml:space="preserve"> which makes improvements to internal-use software accounting guidance to better align with contemporary software development practices, rather than traditional, stage-based models. Under the revised guidance, a Company may begin capitalizing internal-use software costs only when management has authorized and committed to funding the project and it’s probable that the project will be completed and used for its intended function. ASU 2025-06 is effective for annual periods beginning after December 15, 2027, with early adoption permitted. The Company is currently assessing the impact of this ASU on its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Description of Business and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This ASU amends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to reduce the cost and complexity of estimating expected credit losses for current accounts receivable and current contract assets arising from transactions accounted for under ASC 606. The ASU introduces (i) a practical expedient, available to all entities, that permits an entity to assume that current economic conditions as of the balance sheet date will not change over the remaining life of such assets when developing reasonable and supportable forecasts, and (ii) for entities other than public business entities that elect the practical expedient, an accounting policy election to consider collection activity occurring after the balance sheet date when estimating expected credit losses. The amendments do not change the recognition or measurement requirements for other financial assets. The guidance is effective for interim and annual reporting periods beginning after December 15, 2025, with early adoption permitted for financial statements that have not yet been issued or made available for issuance. The Company is currently evaluating the impact of ASU 2025-05 on its Consolidated Financial Statements and related disclosures.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Property and Equipment</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 (in dollars):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354,888</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(276,757)</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78,131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was $64,651.</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Commitments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has commitments for future payments related to shared office space. The Company leases its office facilities under operating lease agreements expiring on December 31, 2027. The Company recognizes rent expense under such agreements on a straight-line basis over the lease term.</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payments under this agreement is as follows (in dollars):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68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right-of-use asset and liability are not material individually or in the aggregate to the Consolidated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from time to time is a party to disputes and legal and administrative proceedings arising from the ordinary course of business.</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Taxes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Company’s loss before income tax expense consisted of the following (in dollars):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(123,828)</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(123,828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income tax expense consisted of the following (in dollars):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8"/>
              </w:rPr>
              <w:t>7,421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7,421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income tax expense differed from the amounts computed by applying the U.S. federal statutory rate to the loss before income tax expense for the following items (in dollars, except percentages):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Loss Before</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Income Tax</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U.S. statutory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(26,004)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valuation allowance</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law changes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55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are presented below and reflect the 21% U.S. federal statutory rate as of December 31, 2025 (in dollars):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4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8"/>
                <w:szCs w:val="18"/>
                <w:color w:val="auto"/>
              </w:rPr>
            </w:pPr>
          </w:p>
        </w:tc>
      </w:tr>
      <w:tr>
        <w:trPr>
          <w:trHeight w:val="46"/>
        </w:trPr>
        <w:tc>
          <w:tcPr>
            <w:tcW w:w="3440" w:type="dxa"/>
            <w:vAlign w:val="bottom"/>
            <w:tcBorders>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and capital losses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522,321</w:t>
            </w:r>
          </w:p>
        </w:tc>
      </w:tr>
      <w:tr>
        <w:trPr>
          <w:trHeight w:val="40"/>
        </w:trPr>
        <w:tc>
          <w:tcPr>
            <w:tcW w:w="3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Nonqualified options and RSAs</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70,570</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54,933</w:t>
            </w:r>
          </w:p>
        </w:tc>
      </w:tr>
      <w:tr>
        <w:trPr>
          <w:trHeight w:val="40"/>
        </w:trPr>
        <w:tc>
          <w:tcPr>
            <w:tcW w:w="3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4,293</w:t>
            </w: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652,117</w:t>
            </w:r>
          </w:p>
        </w:tc>
        <w:tc>
          <w:tcPr>
            <w:tcW w:w="140" w:type="dxa"/>
            <w:vAlign w:val="bottom"/>
          </w:tcPr>
          <w:p>
            <w:pPr>
              <w:spacing w:after="0"/>
              <w:rPr>
                <w:sz w:val="19"/>
                <w:szCs w:val="19"/>
                <w:color w:val="auto"/>
              </w:rPr>
            </w:pPr>
          </w:p>
        </w:tc>
      </w:tr>
      <w:tr>
        <w:trPr>
          <w:trHeight w:val="36"/>
        </w:trPr>
        <w:tc>
          <w:tcPr>
            <w:tcW w:w="3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(691,983)</w:t>
            </w:r>
          </w:p>
        </w:tc>
      </w:tr>
      <w:tr>
        <w:trPr>
          <w:trHeight w:val="22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140" w:type="dxa"/>
            <w:vAlign w:val="bottom"/>
          </w:tcPr>
          <w:p>
            <w:pPr>
              <w:spacing w:after="0"/>
              <w:rPr>
                <w:sz w:val="19"/>
                <w:szCs w:val="19"/>
                <w:color w:val="auto"/>
              </w:rPr>
            </w:pPr>
          </w:p>
        </w:tc>
      </w:tr>
      <w:tr>
        <w:trPr>
          <w:trHeight w:val="36"/>
        </w:trPr>
        <w:tc>
          <w:tcPr>
            <w:tcW w:w="3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35,140</w:t>
            </w:r>
          </w:p>
        </w:tc>
      </w:tr>
      <w:tr>
        <w:trPr>
          <w:trHeight w:val="41"/>
        </w:trPr>
        <w:tc>
          <w:tcPr>
            <w:tcW w:w="344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R&amp;D</w:t>
            </w:r>
          </w:p>
        </w:tc>
        <w:tc>
          <w:tcPr>
            <w:tcW w:w="3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4,726</w:t>
            </w:r>
          </w:p>
        </w:tc>
      </w:t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140" w:type="dxa"/>
            <w:vAlign w:val="bottom"/>
          </w:tcPr>
          <w:p>
            <w:pPr>
              <w:spacing w:after="0"/>
              <w:rPr>
                <w:sz w:val="20"/>
                <w:szCs w:val="20"/>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2656"/>
              <w:spacing w:after="0"/>
              <w:rPr>
                <w:sz w:val="20"/>
                <w:szCs w:val="20"/>
                <w:color w:val="auto"/>
              </w:rPr>
            </w:pPr>
            <w:r>
              <w:rPr>
                <w:rFonts w:ascii="Times New Roman" w:cs="Times New Roman" w:eastAsia="Times New Roman" w:hAnsi="Times New Roman"/>
                <w:sz w:val="18"/>
                <w:szCs w:val="18"/>
                <w:color w:val="auto"/>
              </w:rPr>
              <w:t>F-18</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income tax expense in the period in which such determination is made. The Company’s management believes that, based on a number of factors, it is more likely than not, that all of the deferred tax assets will not be realized; and accordingly, for the year ended December 31, 2025 the Company has provided a full valuation allowance against the Company’s U.S. net deferred tax assets. The net change in the valuation allowance for the year ended December 31, 2025 was an increase of $20,224.</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for federal and state income tax purposes of approximately $2,421,958 and $226,035, respectively, which will begin to expire in 2045 with $2,421,958 of our federal net operating loss carryforward lasting indefinitely.</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with varying statutes of limitation. The Company is generally no longer subject to tax examinations for years prior to 2022 for federal purposes and prior to 2021 for state purposes, except in certain limited circumstances.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activity related to tax contingencies (in dollars):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tax contingencies – December 31, 2024</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86,955</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Gross activity to current period tax positions</w:t>
            </w: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tax contingencies – December 31, 2025</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86,955</w:t>
            </w: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does not anticipate any significant changes to its unrecognized tax contingencies in the next 12 months. The unrecognized tax benefit, if recognized, would impact the effective tax rate. The Company recognizes interest and penalties related to unrecognized tax contingencies within the income tax provision line on the accompanying consolidated statements of operations. There was an immaterial amount of interest and penalties on uncertain tax contingencies recognized during the year ended December 31, 2025.</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Stockholders’ Deficit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Common Stock and Authorized Capital</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authorized capital stock of the Company consists of 1,000 of preferred stock; 4,000 shares of Class A common stock; and 5,000 shares of Class B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Stock Option Grants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maintains equity incentive plans under which it could grant equity (restricted stock units and stock options) to employees, officers, directors, as part of its long-term incentive compensation program. Stock options are generally granted with an exercise price equal to the fair value of the Company’s common stock on the date of grant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have contractual terms of up to ten years from the grant date. Option awards typically vest over service-based vesting periods of four years and may include accelerated vesting provisions upon the occurrence of certain events, such as a change in control, as defined in the applicable award agreements.</w:t>
      </w:r>
    </w:p>
    <w:p>
      <w:pPr>
        <w:spacing w:after="0" w:line="9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 option awards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recognizes compensation expense for stock options based on the grant date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The grant date fair value of stock options is estimated using an option-pricing model, which incorporates assumptions related to expected volatility, expected term, and risk-free interest rate. During the year ended December 31, 2025, there were no stock option awards granted.</w:t>
      </w:r>
    </w:p>
    <w:p>
      <w:pPr>
        <w:spacing w:after="0" w:line="11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expense is recognized on a straight-line basis over the requisite service period, which is generally the vesting period of the award. The Company records stock-based compensation expense in the Consolidated Statement of Operations based on the functional classification of the related personnel. The Company accounts for forfeitures of stock option awards as they occur and revises compensation cost prospectively for awards that are forfeited prior to vesting. Total share-based compensation expense recognized for stock option awards represents the portion of the grant date fair value attributed to services rendered during the reporting period and includes expense related to both current year grants and unvested portions of awards granted in prior periods. The Company does not capitalize stock-based compensation costs. During the year ended December 31, 2025 the Company recorded stock-based compensation expense of $190,168, which was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on the Consolidated Statement of Operations.</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Consolidated Balance Sheet date presented, the Company had unrecognized compensation cost of $453,566 related to unvested stock option awards, which is expected to be recognized over the remaining weighted-average vesting period of those awards, which is two years.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per share fair value of stock option grants with time-based vesting. The Black-Scholes model relies on a number of key assumptions to calculate estimated fair values. The expected life of each award granted was determined based on historical experience with similar awards, giving consideration to contractual terms, anticipated exercise patterns, and vesting schedules.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 which we consider to be zero.</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time-vested stock option grants: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28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00" w:type="dxa"/>
            <w:vAlign w:val="bottom"/>
          </w:tcPr>
          <w:p>
            <w:pPr>
              <w:spacing w:after="0"/>
              <w:rPr>
                <w:sz w:val="18"/>
                <w:szCs w:val="18"/>
                <w:color w:val="auto"/>
              </w:rPr>
            </w:pPr>
          </w:p>
        </w:tc>
        <w:tc>
          <w:tcPr>
            <w:tcW w:w="5300" w:type="dxa"/>
            <w:vAlign w:val="bottom"/>
            <w:gridSpan w:val="2"/>
          </w:tcPr>
          <w:p>
            <w:pPr>
              <w:jc w:val="center"/>
              <w:ind w:left="393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46"/>
        </w:trPr>
        <w:tc>
          <w:tcPr>
            <w:tcW w:w="2800" w:type="dxa"/>
            <w:vAlign w:val="bottom"/>
            <w:tcBorders>
              <w:bottom w:val="single" w:sz="8" w:color="CCEEFF"/>
            </w:tcBorders>
          </w:tcPr>
          <w:p>
            <w:pPr>
              <w:spacing w:after="0"/>
              <w:rPr>
                <w:sz w:val="4"/>
                <w:szCs w:val="4"/>
                <w:color w:val="auto"/>
              </w:rPr>
            </w:pPr>
          </w:p>
        </w:tc>
        <w:tc>
          <w:tcPr>
            <w:tcW w:w="40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 4.50%</w:t>
            </w:r>
          </w:p>
        </w:tc>
      </w:tr>
      <w:tr>
        <w:trPr>
          <w:trHeight w:val="40"/>
        </w:trPr>
        <w:tc>
          <w:tcPr>
            <w:tcW w:w="28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28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jc w:val="right"/>
              <w:ind w:right="3794"/>
              <w:spacing w:after="0"/>
              <w:rPr>
                <w:sz w:val="20"/>
                <w:szCs w:val="20"/>
                <w:color w:val="auto"/>
              </w:rPr>
            </w:pPr>
            <w:r>
              <w:rPr>
                <w:rFonts w:ascii="Times New Roman" w:cs="Times New Roman" w:eastAsia="Times New Roman" w:hAnsi="Times New Roman"/>
                <w:sz w:val="18"/>
                <w:szCs w:val="18"/>
                <w:color w:val="auto"/>
              </w:rPr>
              <w:t>F-20</w:t>
            </w:r>
          </w:p>
        </w:tc>
      </w:tr>
    </w:tbl>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during the year was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1,980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line="20" w:lineRule="exact"/>
              <w:rPr>
                <w:sz w:val="1"/>
                <w:szCs w:val="1"/>
                <w:color w:val="auto"/>
              </w:rPr>
            </w:pPr>
          </w:p>
        </w:tc>
      </w:tr>
      <w:tr>
        <w:trPr>
          <w:trHeight w:val="284"/>
        </w:trPr>
        <w:tc>
          <w:tcPr>
            <w:tcW w:w="4360" w:type="dxa"/>
            <w:vAlign w:val="bottom"/>
            <w:vMerge w:val="continue"/>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CCEEFF"/>
            </w:tcBorders>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1,980</w:t>
            </w:r>
          </w:p>
        </w:tc>
        <w:tc>
          <w:tcPr>
            <w:tcW w:w="1280" w:type="dxa"/>
            <w:vAlign w:val="bottom"/>
            <w:tcBorders>
              <w:top w:val="single" w:sz="8" w:color="CCEEFF"/>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Revolving Demand Notes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Company maintains an unsecured revolving line of credit with two shareholders, which is structured as demand notes and is payable upon request by the lenders. Lenders have agreed to defer any demands for payment for 366 days from May 8, 2026. Accordingly, the revolving demand notes are recorded as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loans and other amounts </w:t>
      </w:r>
      <w:r>
        <w:rPr>
          <w:rFonts w:ascii="Times New Roman" w:cs="Times New Roman" w:eastAsia="Times New Roman" w:hAnsi="Times New Roman"/>
          <w:sz w:val="18"/>
          <w:szCs w:val="18"/>
          <w:color w:val="auto"/>
        </w:rPr>
        <w:t>within long-term liabilities on the Consolidated Balance Sheet.</w:t>
      </w:r>
    </w:p>
    <w:p>
      <w:pPr>
        <w:spacing w:after="0" w:line="9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of December 31, 2025, the outstanding principal balance under the shareholder revolver was $1,406,051 and accrued interest related to the revolver was $860,388.</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on outstanding borrowings accrues at a variable rate equal to the U.S. Prime Rate plus 1.25%. If the outstanding principal balance falls below a specified threshold, the applicable rate is reduced by 0.25%. In the event that interest payments are not made when due, an additional margin of 4.25% is applied.</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Interest is contractually payable on a quarterly basis. Lenders have agreed to defer any demands for payment for 366 days from May 8, 2026. Accordingly, interest expense continues to accrue and is included in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loans and other amounts </w:t>
      </w:r>
      <w:r>
        <w:rPr>
          <w:rFonts w:ascii="Times New Roman" w:cs="Times New Roman" w:eastAsia="Times New Roman" w:hAnsi="Times New Roman"/>
          <w:sz w:val="18"/>
          <w:szCs w:val="18"/>
          <w:color w:val="auto"/>
        </w:rPr>
        <w:t>within long-term liabilities on the Consolidated Balance Sheet.</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While the lenders have agreed not to demand payment, the Company may still, at its option, pay all or some of the shareholder loans and/or accrued interest on shareholder loans.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Additional Credit Facility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2025, a shareholder made available an additional unsecured borrowing facility with a maximum borrowing capacity of $408,000. No amounts were drawn under this facility during the year ended December 31, 2025.</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supplemental facility is subject to a quarterly availability fee calculated based on a variable rate equal to the terms described above for the revolver, less 5%. Such fees are recognized as incurred and included in interest and related expense in the Consolidate Statement of Operations.</w:t>
      </w:r>
    </w:p>
    <w:p>
      <w:pPr>
        <w:spacing w:after="0" w:line="9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connection with the revolving demand notes and additional credit facility, the Company incurs an administrative fee of $9,500 per quarter.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Acquisition Agreement in Principle (“AIP”)</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November 13, 2025, the Company and Marchex, Inc. entered into an AIP where Marchex will acquire 100% of the stock of Archenia from its stockholders for a consideration consisting of a $10.0 million convertible promissory note, with interest at 6%, payable in three equal tranches on the 12, 18 and 24 monthly anniversaries of the closing date of the transaction. Principal and interest under the note would be convertible in whole or in part into shares of Marchex’s Class B common stock at $1.80 per share, which was the 30-day average closing price through November 11, 2025.</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special committee of Marchex’s Board of Directors, consisting solely of independent directors, has approved Marchex entering into the AIP because certain of the sellers are related parties. The parties have agreed to promptly commence to negotiate a definitive purchase agreement relating to the transaction. Conditions to entering into the definitive agreement include receipt of audited financial statements of Archenia, and receipt of a customary fairness opinion by a financial advisor selected by the Special Committee. Conditions to closing the transaction shall include approval of the transaction by a majority of Marchex’s disinterested stockholders. The closing date, in the event a definitive agreement is entered into and the transaction is approved by disinterested stockholders, is anticipated to occur in June 2026.</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Management evaluated subsequent events through May 8, 2026. Based on this evaluation, there were no subsequent events outside those which are reported in the above </w:t>
      </w:r>
      <w:r>
        <w:rPr>
          <w:rFonts w:ascii="Times New Roman" w:cs="Times New Roman" w:eastAsia="Times New Roman" w:hAnsi="Times New Roman"/>
          <w:sz w:val="18"/>
          <w:szCs w:val="18"/>
          <w:i w:val="1"/>
          <w:iCs w:val="1"/>
          <w:color w:val="auto"/>
        </w:rPr>
        <w:t>Note 7: Acquisition AIP</w:t>
      </w:r>
      <w:r>
        <w:rPr>
          <w:rFonts w:ascii="Times New Roman" w:cs="Times New Roman" w:eastAsia="Times New Roman" w:hAnsi="Times New Roman"/>
          <w:sz w:val="18"/>
          <w:szCs w:val="18"/>
          <w:color w:val="auto"/>
        </w:rPr>
        <w:t>, that occurred after December 31, 2025 that require recognition or disclosure in the accompanying 2025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ARCHENIA, INC. AND SUBSIDIARY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Dollars)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541,783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1,847,085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36,670</w:t>
            </w:r>
          </w:p>
        </w:tc>
        <w:tc>
          <w:tcPr>
            <w:tcW w:w="0" w:type="dxa"/>
            <w:vAlign w:val="bottom"/>
          </w:tcPr>
          <w:p>
            <w:pPr>
              <w:spacing w:after="0"/>
              <w:rPr>
                <w:sz w:val="1"/>
                <w:szCs w:val="1"/>
                <w:color w:val="auto"/>
              </w:rPr>
            </w:pPr>
          </w:p>
        </w:tc>
      </w:tr>
      <w:tr>
        <w:trPr>
          <w:trHeight w:val="22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2,425,538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63,341</w:t>
            </w: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2,490,317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1,412,338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1,982,438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 loans and other amounts</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2,333,825</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4,316,263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See Note 3</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1,000 shares; 0 issued and outstanding</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authorized 9,000 shares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4,000 shares authorized; 0 issued and outstanding</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5,000 shares authorized; 5,000 issued and outstanding</w:t>
            </w:r>
          </w:p>
        </w:tc>
        <w:tc>
          <w:tcPr>
            <w:tcW w:w="1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3,786,328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(5,612,324)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(1,825,946</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2,490,317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ARCHENIA, INC. AND SUBSIDIARY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(In Dollars)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6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2"/>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3,829,295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2,767,918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402,215</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299,432</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3,848,403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28"/>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from shareholder loans</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(67,386)</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(86,494)</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(86,494</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78" w:lineRule="auto"/>
        <w:rPr>
          <w:sz w:val="20"/>
          <w:szCs w:val="20"/>
          <w:color w:val="auto"/>
        </w:rPr>
      </w:pPr>
      <w:r>
        <w:rPr>
          <w:rFonts w:ascii="Times New Roman" w:cs="Times New Roman" w:eastAsia="Times New Roman" w:hAnsi="Times New Roman"/>
          <w:sz w:val="18"/>
          <w:szCs w:val="18"/>
          <w:b w:val="1"/>
          <w:bCs w:val="1"/>
          <w:color w:val="auto"/>
        </w:rPr>
        <w:t>ARCHENIA, INC. AND SUBSIDIARY Unaudited Condensed Consolidated Statement of Stockholders’ Deficit (In Dollars)</w:t>
      </w:r>
    </w:p>
    <w:p>
      <w:pPr>
        <w:spacing w:after="0" w:line="3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left="154"/>
              <w:spacing w:after="0"/>
              <w:rPr>
                <w:sz w:val="20"/>
                <w:szCs w:val="20"/>
                <w:color w:val="auto"/>
              </w:rPr>
            </w:pPr>
            <w:r>
              <w:rPr>
                <w:rFonts w:ascii="Times New Roman" w:cs="Times New Roman" w:eastAsia="Times New Roman" w:hAnsi="Times New Roman"/>
                <w:sz w:val="16"/>
                <w:szCs w:val="16"/>
                <w:b w:val="1"/>
                <w:bCs w:val="1"/>
                <w:color w:val="auto"/>
                <w:w w:val="97"/>
              </w:rPr>
              <w:t>Class B</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14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common stock</w:t>
            </w: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tcPr>
          <w:p>
            <w:pPr>
              <w:spacing w:after="0"/>
              <w:rPr>
                <w:sz w:val="10"/>
                <w:szCs w:val="10"/>
                <w:color w:val="auto"/>
              </w:rPr>
            </w:pPr>
          </w:p>
        </w:tc>
        <w:tc>
          <w:tcPr>
            <w:tcW w:w="1400" w:type="dxa"/>
            <w:vAlign w:val="bottom"/>
            <w:gridSpan w:val="5"/>
            <w:vMerge w:val="continue"/>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200"/>
              <w:spacing w:after="0" w:line="145"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1120" w:type="dxa"/>
            <w:vAlign w:val="bottom"/>
            <w:gridSpan w:val="3"/>
            <w:vMerge w:val="restart"/>
          </w:tcPr>
          <w:p>
            <w:pPr>
              <w:jc w:val="center"/>
              <w:ind w:right="8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47"/>
        </w:trPr>
        <w:tc>
          <w:tcPr>
            <w:tcW w:w="20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r>
        <w:trPr>
          <w:trHeight w:val="46"/>
        </w:trPr>
        <w:tc>
          <w:tcPr>
            <w:tcW w:w="20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December 31,</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3,738,786</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 (5,525,830)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(1,786,994)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 compensation</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from options</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47,542</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(86,494)</w:t>
            </w:r>
          </w:p>
        </w:tc>
        <w:tc>
          <w:tcPr>
            <w:tcW w:w="0" w:type="dxa"/>
            <w:vAlign w:val="bottom"/>
          </w:tcPr>
          <w:p>
            <w:pPr>
              <w:spacing w:after="0"/>
              <w:rPr>
                <w:sz w:val="1"/>
                <w:szCs w:val="1"/>
                <w:color w:val="auto"/>
              </w:rPr>
            </w:pPr>
          </w:p>
        </w:tc>
      </w:tr>
      <w:tr>
        <w:trPr>
          <w:trHeight w:val="178"/>
        </w:trPr>
        <w:tc>
          <w:tcPr>
            <w:tcW w:w="20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 at March 31,</w:t>
            </w: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3,786,328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 (5,612,324)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(1,825,946)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2140"/>
        <w:spacing w:after="0" w:line="268" w:lineRule="auto"/>
        <w:rPr>
          <w:sz w:val="20"/>
          <w:szCs w:val="20"/>
          <w:color w:val="auto"/>
        </w:rPr>
      </w:pPr>
      <w:r>
        <w:rPr>
          <w:rFonts w:ascii="Times New Roman" w:cs="Times New Roman" w:eastAsia="Times New Roman" w:hAnsi="Times New Roman"/>
          <w:sz w:val="18"/>
          <w:szCs w:val="18"/>
          <w:b w:val="1"/>
          <w:bCs w:val="1"/>
          <w:color w:val="auto"/>
        </w:rPr>
        <w:t>ARCHENIA, INC. AND SUBSIDIARY Unaudited Condensed Consolidated Statement of Cash Flows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636905</wp:posOffset>
            </wp:positionV>
            <wp:extent cx="514350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Change in certain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Net cash from operating activities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Net cash from investing activities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Net cash from financing activities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paid for income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paid for interest,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8"/>
        <w:spacing w:after="0"/>
        <w:rPr>
          <w:sz w:val="20"/>
          <w:szCs w:val="20"/>
          <w:color w:val="auto"/>
        </w:rPr>
      </w:pPr>
      <w:r>
        <w:rPr>
          <w:rFonts w:ascii="Times New Roman" w:cs="Times New Roman" w:eastAsia="Times New Roman" w:hAnsi="Times New Roman"/>
          <w:sz w:val="16"/>
          <w:szCs w:val="16"/>
          <w:b w:val="1"/>
          <w:bCs w:val="1"/>
          <w:color w:val="auto"/>
        </w:rPr>
        <w:t>Three Months</w:t>
      </w:r>
    </w:p>
    <w:p>
      <w:pPr>
        <w:spacing w:after="0" w:line="28"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6"/>
          <w:szCs w:val="16"/>
          <w:b w:val="1"/>
          <w:bCs w:val="1"/>
          <w:color w:val="auto"/>
        </w:rPr>
        <w:t>Ended</w:t>
      </w:r>
    </w:p>
    <w:p>
      <w:pPr>
        <w:spacing w:after="0" w:line="1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371" w:lineRule="exact"/>
        <w:rPr>
          <w:sz w:val="20"/>
          <w:szCs w:val="20"/>
          <w:color w:val="auto"/>
        </w:rPr>
      </w:pPr>
    </w:p>
    <w:p>
      <w:pPr>
        <w:ind w:left="548" w:hanging="548"/>
        <w:spacing w:after="0"/>
        <w:tabs>
          <w:tab w:leader="none" w:pos="5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(86,494)</w:t>
      </w:r>
    </w:p>
    <w:p>
      <w:pPr>
        <w:spacing w:after="0" w:line="360"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8"/>
          <w:szCs w:val="18"/>
          <w:color w:val="auto"/>
        </w:rPr>
        <w:t>14,790</w:t>
      </w:r>
    </w:p>
    <w:p>
      <w:pPr>
        <w:spacing w:after="0" w:line="77"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8"/>
          <w:szCs w:val="18"/>
          <w:color w:val="auto"/>
        </w:rPr>
        <w:t>47,542</w:t>
      </w:r>
    </w:p>
    <w:p>
      <w:pPr>
        <w:spacing w:after="0" w:line="36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174,931</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60,272</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(63,331)</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35,809</w:t>
      </w:r>
    </w:p>
    <w:p>
      <w:pPr>
        <w:spacing w:after="0" w:line="77" w:lineRule="exact"/>
        <w:rPr>
          <w:sz w:val="20"/>
          <w:szCs w:val="20"/>
          <w:color w:val="auto"/>
        </w:rPr>
      </w:pPr>
    </w:p>
    <w:p>
      <w:pPr>
        <w:ind w:left="528" w:hanging="528"/>
        <w:spacing w:after="0"/>
        <w:tabs>
          <w:tab w:leader="none" w:pos="5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54" w:lineRule="exact"/>
        <w:rPr>
          <w:sz w:val="20"/>
          <w:szCs w:val="20"/>
          <w:color w:val="auto"/>
        </w:rPr>
      </w:pPr>
    </w:p>
    <w:p>
      <w:pPr>
        <w:ind w:left="928" w:hanging="928"/>
        <w:spacing w:after="0"/>
        <w:tabs>
          <w:tab w:leader="none" w:pos="9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54" w:lineRule="exact"/>
        <w:rPr>
          <w:sz w:val="20"/>
          <w:szCs w:val="20"/>
          <w:color w:val="auto"/>
        </w:rPr>
      </w:pPr>
    </w:p>
    <w:p>
      <w:pPr>
        <w:ind w:left="928" w:hanging="928"/>
        <w:spacing w:after="0"/>
        <w:tabs>
          <w:tab w:leader="none" w:pos="9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5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2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70"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8"/>
          <w:szCs w:val="18"/>
          <w:color w:val="auto"/>
        </w:rPr>
        <w:t>358,264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ind w:left="528" w:hanging="528"/>
        <w:spacing w:after="0"/>
        <w:tabs>
          <w:tab w:leader="none" w:pos="5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541,783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02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54" w:lineRule="exact"/>
        <w:rPr>
          <w:sz w:val="20"/>
          <w:szCs w:val="20"/>
          <w:color w:val="auto"/>
        </w:rPr>
      </w:pPr>
    </w:p>
    <w:p>
      <w:pPr>
        <w:ind w:left="928" w:hanging="928"/>
        <w:spacing w:after="0"/>
        <w:tabs>
          <w:tab w:leader="none" w:pos="9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928" w:hanging="928"/>
        <w:spacing w:after="0"/>
        <w:tabs>
          <w:tab w:leader="none" w:pos="9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6860" w:space="452"/>
            <w:col w:w="1707"/>
          </w:cols>
          <w:pgMar w:left="1440" w:top="270" w:right="1440"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Archenia, Inc. and its wholly owned subsidiary, Jingle Networks, Inc. (“Archenia” or the “Company”), are a performance-based marketing technology company focused on customer qualification and acquisition. The Company transforms consumer intent into Artificial Intelligence (“AI”)-verified, outcome-based results by leveraging AI, natural-language analytics, and automated decisioning to identify and deliver high-intent consumer interactions to advertisers. Archenia was formed in 2020.</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These financial statements include all adjustments (consisting only of normal recurring adjustments) the Company’s management considers necessary for a fair presentation of its financial position at March 31, 2026 and its operating results and cash flows for the three months then ended. As these financial statements pertain to an interim reporting period, certain information and note disclosures normally included in annual Consolidated Financial Statements have been condensed or omitted, although the Company believes that the disclosures made are adequate to make the information not misleading. The accompanying Unaudited Condensed Consolidated Financial Statements should be read in conjunction with the audited Consolidated Financial Statements and notes thereto as of and for the year ended December 31, 2025 contained within the Index to the Financial Statements of the Definitive Proxy Agreement.</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allowance for credit losses, allowance for advertiser credits, useful lives for property and equipment, the fair value of stock options awards, and the valuation allowance for deferred tax assets. Actual results could differ from those estimates.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certain cases, the Company records revenue based on available and reported preliminary information from third parties. Collection on the related receivables may vary from reported information based upon third party refinement of the estimated and reported amounts owed that occurs subsequent to the end of a reporting period.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Significant Accounting Policies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significant changes to the Company’s summary of significant accounting policies contained in the Company’s Audited Financial Statements for the year ended December 31, 2025, contained within the Index to the Financial Statements of the Definitive Proxy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Liquidity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reported a net loss, and has a stockholders’ deficit as of March 31, 2026, however, based on our operating plans we believe that our resources will be sufficient to fund our operations, including any investments in strategic initiatives, for at least twelve months from June 5, 2026, the date of financial statement issuance. The Company considers any substantial doubt raised from our net loss from operations, which were largely driven due to non-cash charges including depreciation and stock-based compensation, to be alleviated by management’s future operating plans, which consist of strategies for product innovation, increased sales, and cost cutting and efficiency efforts. When evaluating the Company’s ability to continue as a going concern, management analyzed our working capital and cash position, positive momentum at the three months ended March 31, 2026, operating performance, and absence of any internal or external matters outstanding that would cause operating plans to be significantly revised.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 (in dollars):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r>
      <w:tr>
        <w:trPr>
          <w:trHeight w:val="46"/>
        </w:trPr>
        <w:tc>
          <w:tcPr>
            <w:tcW w:w="6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354,888</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(291,547)</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63,341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was $14,790.</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Commitments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has commitments for future payments related to shared office space. The Company leases its office facilities under operating lease agreements expiring on December 31, 2027. The Company recognizes rent expense under such agreements on a straight-line basis over the lease term.</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payments under this agreement are as follows (in dollars):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68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right-of-use asset and liability are not material individually or in the aggregate to the Consolidated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Contingencies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from time to time is a party to disputes and legal and administrative proceedings arising from the ordinary course of business.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income tax expense in the period in which such determination is made. The Company’s management believes that, based on a number of factors, it is more likely than not, that all of the deferred tax assets will not be realized; and accordingly, for the three months ended March 31, 2026 the Company has provided a full valuation allowance against the Company’s U.S. net deferred tax assets. There was no net change in the net deferred tax assets for the three months ended March 31, 2026.</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accruals for uncertain tax positions including interest or penalties.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Stockholders’ Deficit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Common Stock and Authorized Capital</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authorized capital stock of the Company consists of 1,000 of preferred stock; 4,000 shares of Class A common stock; and 5,000 shares of Class B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Stock Option Grants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 maintains equity incentive plans under which it could grant equity (restricted stock units and stock options) to employees, officers, directors, as part of its long-term incentive compensation program. Stock options are generally granted with an exercise price equal to the fair value of the Company’s common stock on the date of grant and have contractual terms of up to ten years from the grant date. Option awards typically vest over service-based vesting periods of four years and may include accelerated vesting provisions upon the occurrence of certain events, such as a change in control, as defined in the applicable award agreements.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Consolidated Balance Sheet date presented, the Company had unrecognized compensation cost of $406,024 related to unvested stock option awards, which is expected to be recognized over the remaining weighted-average vesting period of those awards, which is two years.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time-vested stock option grants: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 4.50%</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activity during the three months was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price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Revolving Demand Notes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Company maintains an unsecured revolving line of credit with two shareholders, which is structured as demand notes and is payable upon request by the lenders. Lenders have agreed to defer any demands for payment for 366 days from June 5, 2026. Accordingly, the revolving demand notes are recorded as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loans and other amounts </w:t>
      </w:r>
      <w:r>
        <w:rPr>
          <w:rFonts w:ascii="Times New Roman" w:cs="Times New Roman" w:eastAsia="Times New Roman" w:hAnsi="Times New Roman"/>
          <w:sz w:val="18"/>
          <w:szCs w:val="18"/>
          <w:color w:val="auto"/>
        </w:rPr>
        <w:t>within long-term liabilities on the Consolidated Balance Sheet.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Debt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March 31, 2026, the outstanding principal balance under the shareholder revolver was $1,406,051 and accrued interest related to the revolver was $927,774.</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on outstanding borrowings accrues at a variable rate equal to the U.S. Prime Rate plus 1.25%. If the outstanding principal balance falls below a specified threshold, the applicable rate is reduced by 0.25%. In the event that interest payments are not made when due, an additional margin of 4.25% is applied.</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Interest is contractually payable on a quarterly basis. Lenders have agreed to defer any demands for payment for 366 days from June 5, 2026. Accordingly, interest expense continues to accrue and is included in </w:t>
      </w:r>
      <w:r>
        <w:rPr>
          <w:rFonts w:ascii="Times New Roman" w:cs="Times New Roman" w:eastAsia="Times New Roman" w:hAnsi="Times New Roman"/>
          <w:sz w:val="18"/>
          <w:szCs w:val="18"/>
          <w:i w:val="1"/>
          <w:iCs w:val="1"/>
          <w:color w:val="auto"/>
        </w:rPr>
        <w:t>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loans and other amounts </w:t>
      </w:r>
      <w:r>
        <w:rPr>
          <w:rFonts w:ascii="Times New Roman" w:cs="Times New Roman" w:eastAsia="Times New Roman" w:hAnsi="Times New Roman"/>
          <w:sz w:val="18"/>
          <w:szCs w:val="18"/>
          <w:color w:val="auto"/>
        </w:rPr>
        <w:t>within long-term liabilities on the Consolidated Balance Sheet.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While the lenders have agreed not to demand payment, the Company may still, at its option, pay all or some of the shareholder loans and/or accrued interest on shareholder loans.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Additional Credit Facility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shareholder of the Company has made available an additional unsecured borrowing facility with a maximum borrowing capacity of $408,000. No amounts were drawn under this facility during the three months ended March 31, 2026.</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supplemental facility is subject to a quarterly availability fee calculated based on a variable rate equal to the terms described above for the revolver, less 5%. Such fees are recognized as incurred and included in interest and related expense in the Consolidated Statement of Operations.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connection with the revolving demand notes and additional credit facility, the Company incurs an administrative fee of $9,500 per quarter.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Stock Purchase Agreement (“SPA”)</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May 8, 2026, the Company and Marchex, Inc. entered into an SPA where Marchex will acquire 100% of the outstanding shares of capital stock of Archenia from its stockholders for a base consideration consisting of an aggregate of $10.0 million in convertible promissory notes to be issued, with interest at 6%, payable in three equal tranches on the 12-, 18- and 24-month anniversaries of the closing date of the transaction. Principal and interest under the note would be convertible in whole or in part into shares of Marchex’s Class B common stock at $1.80 per share. In addition,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Archenia an aggregate of 2 million shares of its Class B common stock for each such period.</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SPA contains customary representations, warranties and covenants, termination rights, as well as indemnification provisions subject to specified limitations. The completion of the transaction is subject to certain closing conditions, including the receipt of approval of a majority of the Marchex’s stockholders disinterested in the transaction.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Other Disclosures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Allowance for Credit Losses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allowance for credit losses was $137,700. There were no charge-offs or recoveries of accounts receivable during the three months ended March 31,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Concentrations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maintains substantially all of its cash and cash equivalents with one financial institution and are all considered at Level 1 fair value with observable inputs that reflect quoted prices for identical assets or liabilities in active markets.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ARCHENIA,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8: Other Disclosures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customers representing more than 10% of consolidated revenue and accounts receivable are as follows (in percentages):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Accounts</w:t>
            </w:r>
          </w:p>
        </w:tc>
      </w:tr>
      <w:tr>
        <w:trPr>
          <w:trHeight w:val="212"/>
        </w:trPr>
        <w:tc>
          <w:tcPr>
            <w:tcW w:w="5560" w:type="dxa"/>
            <w:vAlign w:val="bottom"/>
          </w:tcPr>
          <w:p>
            <w:pPr>
              <w:spacing w:after="0"/>
              <w:rPr>
                <w:sz w:val="18"/>
                <w:szCs w:val="18"/>
                <w:color w:val="auto"/>
              </w:rPr>
            </w:pP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Receivable</w:t>
            </w: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5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Related Parties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Certain shareholders of the Company are considered related parties. During the three months ended March 31, 2026, the Company made payments to related parties primarily for professional and shared service, which were recorded as operating expenses in the Consolidated Statement of Operations. Total expenses during the three months ended March 31, 2026 were $19,312 and recorded in general and administrative expenses. The Company had outstanding payables as of March 31, 2026 of $71,735 which are recorded in accounts payable.</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 did not enter into any other material related party transactions during the three months ended March 31,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all known subsequent events from the date of the Consolidated Balance Sheet through June 5, 2026.</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STOCKHOLDERS OF ARCHENIA, INC., A DELAWARE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MARCHEX, INC., A DELAWARE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57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76"/>
        </w:trPr>
        <w:tc>
          <w:tcPr>
            <w:tcW w:w="1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15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2.01   Purchase and Sale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2.02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2.03   Transactions to Be Effected at the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2.04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Consideration Spreadsheet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40"/>
        </w:trPr>
        <w:tc>
          <w:tcPr>
            <w:tcW w:w="15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2.05</w:t>
            </w:r>
          </w:p>
        </w:tc>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2.06</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A-4</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RELATING TO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3.01   Organization and Qualification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3.02   Enforceability and Authority of the Sellers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A-5</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3.04   No Conflicts;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3.05</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A-6</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3.06   Legal Proceedings; Governmental Orders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7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3.08   Related Party Transactions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3.09</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to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40"/>
        </w:trPr>
        <w:tc>
          <w:tcPr>
            <w:tcW w:w="15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3.11</w:t>
            </w:r>
          </w:p>
        </w:tc>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A-7</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Disclosure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BUYER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4.01   Organization and Authority of Buyer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4.02   No Conflicts;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4.03</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Valid Issuance.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40"/>
        </w:trPr>
        <w:tc>
          <w:tcPr>
            <w:tcW w:w="15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4.04</w:t>
            </w:r>
          </w:p>
        </w:tc>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5.01   No Solicitation of Other Bids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A-8</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5.02</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0"/>
        </w:trPr>
        <w:tc>
          <w:tcPr>
            <w:tcW w:w="15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5.03</w:t>
            </w:r>
          </w:p>
        </w:tc>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Announcements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5.04</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5.05   Proxy Statement; Buyer Stockholders’ Meeting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A-9</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84"/>
        </w:trPr>
        <w:tc>
          <w:tcPr>
            <w:tcW w:w="15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15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6.01</w:t>
            </w:r>
          </w:p>
        </w:tc>
        <w:tc>
          <w:tcPr>
            <w:tcW w:w="5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Covenants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7.01   Conditions to Obligations of Buyer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A-10</w:t>
            </w:r>
          </w:p>
        </w:tc>
      </w:tr>
      <w:tr>
        <w:trPr>
          <w:trHeight w:val="243"/>
        </w:trPr>
        <w:tc>
          <w:tcPr>
            <w:tcW w:w="7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7.02   Conditions to Obligations of Sellers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15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1560" w:type="dxa"/>
            <w:vAlign w:val="bottom"/>
            <w:shd w:val="clear" w:color="auto" w:fill="CCEEFF"/>
          </w:tcPr>
          <w:p>
            <w:pPr>
              <w:spacing w:after="0"/>
              <w:rPr>
                <w:sz w:val="24"/>
                <w:szCs w:val="24"/>
                <w:color w:val="auto"/>
              </w:rPr>
            </w:pPr>
          </w:p>
        </w:tc>
        <w:tc>
          <w:tcPr>
            <w:tcW w:w="5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8.01</w:t>
            </w:r>
          </w:p>
        </w:tc>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8.02   Indemnification By Sellers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1560" w:type="dxa"/>
            <w:vAlign w:val="bottom"/>
            <w:shd w:val="clear" w:color="auto" w:fill="CCEEFF"/>
          </w:tcPr>
          <w:p>
            <w:pPr>
              <w:spacing w:after="0"/>
              <w:rPr>
                <w:sz w:val="3"/>
                <w:szCs w:val="3"/>
                <w:color w:val="auto"/>
              </w:rPr>
            </w:pPr>
          </w:p>
        </w:tc>
        <w:tc>
          <w:tcPr>
            <w:tcW w:w="57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ectPr>
          <w:pgSz w:w="11900" w:h="16838" w:orient="portrait"/>
          <w:cols w:equalWidth="0" w:num="1">
            <w:col w:w="9019"/>
          </w:cols>
          <w:pgMar w:left="1440" w:top="270" w:right="1440" w:bottom="0" w:gutter="0" w:footer="0" w:header="0"/>
        </w:sectPr>
      </w:pPr>
    </w:p>
    <w:bookmarkStart w:id="88" w:name="page89"/>
    <w:bookmarkEnd w:id="88"/>
    <w:p>
      <w:pPr>
        <w:ind w:left="1000"/>
        <w:spacing w:after="0"/>
        <w:tabs>
          <w:tab w:leader="none" w:pos="2120" w:val="left"/>
          <w:tab w:leader="none" w:pos="7940" w:val="left"/>
        </w:tabs>
        <w:rPr>
          <w:sz w:val="20"/>
          <w:szCs w:val="20"/>
          <w:color w:val="auto"/>
        </w:rPr>
      </w:pPr>
      <w:r>
        <w:rPr>
          <w:rFonts w:ascii="Times New Roman" w:cs="Times New Roman" w:eastAsia="Times New Roman" w:hAnsi="Times New Roman"/>
          <w:sz w:val="18"/>
          <w:szCs w:val="18"/>
          <w:color w:val="auto"/>
        </w:rPr>
        <w:t>Section 8.03</w:t>
        <w:tab/>
        <w:t>Certain Limitations</w:t>
      </w:r>
      <w:r>
        <w:rPr>
          <w:sz w:val="20"/>
          <w:szCs w:val="20"/>
          <w:color w:val="auto"/>
        </w:rPr>
        <w:tab/>
      </w:r>
      <w:r>
        <w:rPr>
          <w:rFonts w:ascii="Times New Roman" w:cs="Times New Roman" w:eastAsia="Times New Roman" w:hAnsi="Times New Roman"/>
          <w:sz w:val="17"/>
          <w:szCs w:val="17"/>
          <w:color w:val="auto"/>
        </w:rPr>
        <w:t>A-12</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16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1600" w:type="dxa"/>
            <w:vAlign w:val="bottom"/>
            <w:tcBorders>
              <w:bottom w:val="single" w:sz="8" w:color="CCEEFF"/>
            </w:tcBorders>
          </w:tcPr>
          <w:p>
            <w:pPr>
              <w:spacing w:after="0"/>
              <w:rPr>
                <w:sz w:val="4"/>
                <w:szCs w:val="4"/>
                <w:color w:val="auto"/>
              </w:rPr>
            </w:pPr>
          </w:p>
        </w:tc>
        <w:tc>
          <w:tcPr>
            <w:tcW w:w="56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8.04</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8.05</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8.06</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Exclusive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16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9.01</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9.02</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1600" w:type="dxa"/>
            <w:vAlign w:val="bottom"/>
            <w:shd w:val="clear" w:color="auto" w:fill="CCEEFF"/>
          </w:tcPr>
          <w:p>
            <w:pPr>
              <w:spacing w:after="0"/>
              <w:rPr>
                <w:sz w:val="24"/>
                <w:szCs w:val="24"/>
                <w:color w:val="auto"/>
              </w:rPr>
            </w:pPr>
          </w:p>
        </w:tc>
        <w:tc>
          <w:tcPr>
            <w:tcW w:w="5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10.01</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Seller Representative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10.02</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10.03</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1"/>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10.04</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Interpretation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10.05</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10.06</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10.07</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10.08</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10.09</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10.10</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 and Modification; Waiver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10.11</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1600" w:type="dxa"/>
            <w:vAlign w:val="bottom"/>
          </w:tcPr>
          <w:p>
            <w:pPr>
              <w:spacing w:after="0"/>
              <w:rPr>
                <w:sz w:val="3"/>
                <w:szCs w:val="3"/>
                <w:color w:val="auto"/>
              </w:rPr>
            </w:pPr>
          </w:p>
        </w:tc>
        <w:tc>
          <w:tcPr>
            <w:tcW w:w="5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1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10.12</w:t>
            </w:r>
          </w:p>
        </w:tc>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1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10.13</w:t>
            </w:r>
          </w:p>
        </w:tc>
        <w:tc>
          <w:tcPr>
            <w:tcW w:w="5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PURCHASE AGREEMENT</w:t>
      </w:r>
    </w:p>
    <w:p>
      <w:pPr>
        <w:spacing w:after="0" w:line="158"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8, 2026, by and among Marchex, Inc., a Delaware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the stockholders of Archenia,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Sellers own all of the issued and outstanding shares of common stock, par value $$.00001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 and</w:t>
      </w:r>
    </w:p>
    <w:p>
      <w:pPr>
        <w:spacing w:after="0" w:line="94"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WHEREAS, Sellers wish to sell to Buyer, and Buyer wishes to purchase from Sellers, the Shares, subject to the terms and conditions/set forth herein.</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terms have the meanings specified or referred to in this ARTICLE I:</w:t>
      </w:r>
    </w:p>
    <w:p>
      <w:pPr>
        <w:spacing w:after="0" w:line="154"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90"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12"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Washington are authorized or required by Law to be closed for business.</w:t>
      </w:r>
    </w:p>
    <w:p>
      <w:pPr>
        <w:spacing w:after="0" w:line="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44" w:lineRule="exact"/>
        <w:rPr>
          <w:sz w:val="20"/>
          <w:szCs w:val="20"/>
          <w:color w:val="auto"/>
        </w:rPr>
      </w:pPr>
    </w:p>
    <w:p>
      <w:pPr>
        <w:jc w:val="both"/>
        <w:ind w:left="460" w:right="47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03"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Schedules delivered by the Sellers concurrently with the execution and delivery of this Agreement.</w:t>
      </w:r>
    </w:p>
    <w:p>
      <w:pPr>
        <w:spacing w:after="0" w:line="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w:t>
      </w:r>
    </w:p>
    <w:p>
      <w:pPr>
        <w:spacing w:after="0" w:line="144"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in effect from time to time.</w:t>
      </w:r>
    </w:p>
    <w:p>
      <w:pPr>
        <w:spacing w:after="0" w:line="144"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decree, other requirement or rule of law of any Governmental Authority.</w:t>
      </w:r>
    </w:p>
    <w:p>
      <w:pPr>
        <w:spacing w:after="0" w:line="87"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“Losses” shall not include punitive damages, except to the extent actually awarded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or other third party.</w:t>
      </w:r>
    </w:p>
    <w:p>
      <w:pPr>
        <w:spacing w:after="0" w:line="98"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“Material Adverse Effect” shall not include any event, occurrence, fact, condition or change, directly or indirectly, arising out of or attributable to: (i) general economic or political conditions; (ii) conditions generally affecting the industries in which the Company operates; (iii) any changes in financial or securities markets in general; (iv) acts of war (whether or not declared), armed hostilities or terrorism, or the escalation or worsening thereof; (v) any action required or permitted by this Agreement or any action taken (or omitted to be taken) with the written consent of or at the written request of Buyer; (vi) any changes in applicable Laws or accounting rules, including GAAP;</w:t>
      </w:r>
    </w:p>
    <w:p>
      <w:pPr>
        <w:ind w:left="840" w:hanging="386"/>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pendency or completion of the transactions contemplated by this Agreement;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natural or man-made disasters or acts of God; (ix) any epidemics, pandemics, or disease outbreaks or any worsening thereof; or (x) any failure by the Company to meet any internal or published projections, forecasts or revenue or earnings predictions (provided that the underlying causes of such failures (subject to the other provisions of this definition) shall not be excluded);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any event, occurrence, fact, condition or change referred to in clauses (i) 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122" w:lineRule="exact"/>
        <w:rPr>
          <w:sz w:val="20"/>
          <w:szCs w:val="20"/>
          <w:color w:val="auto"/>
        </w:rPr>
      </w:pPr>
    </w:p>
    <w:p>
      <w:pPr>
        <w:jc w:val="both"/>
        <w:ind w:left="460" w:right="45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87" w:lineRule="exact"/>
        <w:rPr>
          <w:sz w:val="20"/>
          <w:szCs w:val="20"/>
          <w:color w:val="auto"/>
        </w:rPr>
      </w:pPr>
    </w:p>
    <w:p>
      <w:pPr>
        <w:jc w:val="both"/>
        <w:ind w:left="460" w:right="45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74"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means any taxable period beginning after the Closing Date and, with respect to any taxable period beginning before and ending after the Closing Date, the portion of such taxable period beginning after the Closing Date.</w:t>
      </w:r>
    </w:p>
    <w:p>
      <w:pPr>
        <w:spacing w:after="0" w:line="103"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taxable period beginning before and ending after the Closing Date, the portion of such taxable period ending on and including the Closing Date.</w:t>
      </w:r>
    </w:p>
    <w:p>
      <w:pPr>
        <w:spacing w:after="0" w:line="103"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with respect to any Seller, such Person’s ownership interest in the Company as of immediately prior to the Closing Date, determined by dividing (a) the number of Shares owned of record by such Person as of immediately prior to the Closing Date, by (b) the aggregate number of Shares held by all Sellers.</w:t>
      </w:r>
    </w:p>
    <w:p>
      <w:pPr>
        <w:spacing w:after="0" w:line="95"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with respect to any Person, any and all directors, officers, employees, consultants, financial advisors, counsel, accountants and other agents of such Person.</w:t>
      </w:r>
    </w:p>
    <w:p>
      <w:pPr>
        <w:spacing w:after="0" w:line="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Representative</w:t>
      </w:r>
      <w:r>
        <w:rPr>
          <w:rFonts w:ascii="Times New Roman" w:cs="Times New Roman" w:eastAsia="Times New Roman" w:hAnsi="Times New Roman"/>
          <w:sz w:val="18"/>
          <w:szCs w:val="18"/>
          <w:color w:val="auto"/>
        </w:rPr>
        <w:t>” means Russell C. Horowitz.</w:t>
      </w:r>
    </w:p>
    <w:p>
      <w:pPr>
        <w:spacing w:after="0" w:line="158"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local, foreign and other income, gross receipts, sales, use, production, ad valorem, transfer, franchise, registration, profits, license, lease, service, service use, withholding, payroll, employment, unemployment, estimated, excise, severance, environmental, stamp, occupation, premium, property (real or personal),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04"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claim for refund, information return or statement or other document relating to Taxes, including any schedule or attachment thereto, and including any amendment thereof.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122"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2.01 Purchase and Sale</w:t>
      </w:r>
      <w:r>
        <w:rPr>
          <w:rFonts w:ascii="Times New Roman" w:cs="Times New Roman" w:eastAsia="Times New Roman" w:hAnsi="Times New Roman"/>
          <w:sz w:val="18"/>
          <w:szCs w:val="18"/>
          <w:color w:val="auto"/>
        </w:rPr>
        <w:t>. Subject to the terms and conditions set forth herein,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Sellers shall sell to Buyer, and Buyer shall purchase from Sellers, the Shares, free and clear of all Encumbrances, for the consideration specified in Section 2.02.</w:t>
      </w:r>
    </w:p>
    <w:p>
      <w:pPr>
        <w:spacing w:after="0" w:line="103"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2.02 Purchase Price</w:t>
      </w:r>
      <w:r>
        <w:rPr>
          <w:rFonts w:ascii="Times New Roman" w:cs="Times New Roman" w:eastAsia="Times New Roman" w:hAnsi="Times New Roman"/>
          <w:sz w:val="18"/>
          <w:szCs w:val="18"/>
          <w:color w:val="auto"/>
        </w:rPr>
        <w:t>. The aggregate purchase price for the Shares shall be equal to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U.S. dollars (($10,000,000)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payable in the form of convertible promissory notes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Transactions to Be Effected at the Closing</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700" w:hanging="598"/>
        <w:spacing w:after="0"/>
        <w:tabs>
          <w:tab w:leader="none" w:pos="1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w:t>
      </w:r>
    </w:p>
    <w:p>
      <w:pPr>
        <w:spacing w:after="0" w:line="157"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Sellers or Seller Representative, as applicable:</w:t>
      </w:r>
    </w:p>
    <w:p>
      <w:pPr>
        <w:spacing w:after="0" w:line="157" w:lineRule="exact"/>
        <w:rPr>
          <w:rFonts w:ascii="Times New Roman" w:cs="Times New Roman" w:eastAsia="Times New Roman" w:hAnsi="Times New Roman"/>
          <w:sz w:val="18"/>
          <w:szCs w:val="18"/>
          <w:color w:val="auto"/>
        </w:rPr>
      </w:pPr>
    </w:p>
    <w:p>
      <w:pPr>
        <w:ind w:left="2400" w:right="479" w:firstLine="646"/>
        <w:spacing w:after="0" w:line="282" w:lineRule="auto"/>
        <w:tabs>
          <w:tab w:leader="none" w:pos="3662"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with each Seller receiving such Seller’s Pro Rata Share of the Closing Date Payment; and</w:t>
      </w:r>
    </w:p>
    <w:p>
      <w:pPr>
        <w:spacing w:after="0" w:line="80" w:lineRule="exact"/>
        <w:rPr>
          <w:rFonts w:ascii="Times New Roman" w:cs="Times New Roman" w:eastAsia="Times New Roman" w:hAnsi="Times New Roman"/>
          <w:sz w:val="18"/>
          <w:szCs w:val="18"/>
          <w:color w:val="auto"/>
        </w:rPr>
      </w:pPr>
    </w:p>
    <w:p>
      <w:pPr>
        <w:jc w:val="both"/>
        <w:ind w:left="2400" w:right="479" w:firstLine="646"/>
        <w:spacing w:after="0" w:line="266" w:lineRule="auto"/>
        <w:tabs>
          <w:tab w:leader="none" w:pos="3693"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agreements, documents, instruments or certificates required to be delivered by Buyer at or prior to the Closing pursuant to Section 7.02 of this Agreement.</w:t>
      </w:r>
    </w:p>
    <w:p>
      <w:pPr>
        <w:spacing w:after="0" w:line="108"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Sellers or Seller Representative, as applicable, shall deliver to Buyer:</w:t>
      </w:r>
    </w:p>
    <w:p>
      <w:pPr>
        <w:spacing w:after="0" w:line="157" w:lineRule="exact"/>
        <w:rPr>
          <w:rFonts w:ascii="Times New Roman" w:cs="Times New Roman" w:eastAsia="Times New Roman" w:hAnsi="Times New Roman"/>
          <w:sz w:val="18"/>
          <w:szCs w:val="18"/>
          <w:color w:val="auto"/>
        </w:rPr>
      </w:pPr>
    </w:p>
    <w:p>
      <w:pPr>
        <w:jc w:val="both"/>
        <w:ind w:left="1760" w:right="459" w:firstLine="638"/>
        <w:spacing w:after="0" w:line="266" w:lineRule="auto"/>
        <w:tabs>
          <w:tab w:leader="none" w:pos="302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certificates evidencing the Shares, free and clear of all Encumbrances, duly endorsed in blank or accompanied by stock powers or other instruments of transfer duly executed in blank; and</w:t>
      </w:r>
    </w:p>
    <w:p>
      <w:pPr>
        <w:spacing w:after="0" w:line="94" w:lineRule="exact"/>
        <w:rPr>
          <w:rFonts w:ascii="Times New Roman" w:cs="Times New Roman" w:eastAsia="Times New Roman" w:hAnsi="Times New Roman"/>
          <w:sz w:val="18"/>
          <w:szCs w:val="18"/>
          <w:color w:val="auto"/>
        </w:rPr>
      </w:pPr>
    </w:p>
    <w:p>
      <w:pPr>
        <w:ind w:left="1760" w:right="479" w:firstLine="638"/>
        <w:spacing w:after="0" w:line="282" w:lineRule="auto"/>
        <w:tabs>
          <w:tab w:leader="none" w:pos="303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agreements, documents, instruments or certificates required to be delivered by Sellers at or prior to the Closing pursuant to Section 7.01 of this Agreement.</w:t>
      </w:r>
    </w:p>
    <w:p>
      <w:pPr>
        <w:spacing w:after="0" w:line="90"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2.04</w:t>
      </w:r>
      <w:r>
        <w:rPr>
          <w:sz w:val="20"/>
          <w:szCs w:val="20"/>
          <w:color w:val="auto"/>
        </w:rPr>
        <w:tab/>
      </w:r>
      <w:r>
        <w:rPr>
          <w:rFonts w:ascii="Times New Roman" w:cs="Times New Roman" w:eastAsia="Times New Roman" w:hAnsi="Times New Roman"/>
          <w:sz w:val="17"/>
          <w:szCs w:val="17"/>
          <w:b w:val="1"/>
          <w:bCs w:val="1"/>
          <w:color w:val="auto"/>
        </w:rPr>
        <w:t>Consideration Spreadsheet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79" w:firstLine="642"/>
        <w:spacing w:after="0" w:line="266" w:lineRule="auto"/>
        <w:tabs>
          <w:tab w:leader="none" w:pos="171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before the Closing, the Seller Representative shall prepare and deliver to Buyer a spreadsheet (the “</w:t>
      </w:r>
      <w:r>
        <w:rPr>
          <w:rFonts w:ascii="Times New Roman" w:cs="Times New Roman" w:eastAsia="Times New Roman" w:hAnsi="Times New Roman"/>
          <w:sz w:val="18"/>
          <w:szCs w:val="18"/>
          <w:b w:val="1"/>
          <w:bCs w:val="1"/>
          <w:color w:val="auto"/>
        </w:rPr>
        <w:t>Consideration Spreadsheet</w:t>
      </w:r>
      <w:r>
        <w:rPr>
          <w:rFonts w:ascii="Times New Roman" w:cs="Times New Roman" w:eastAsia="Times New Roman" w:hAnsi="Times New Roman"/>
          <w:sz w:val="18"/>
          <w:szCs w:val="18"/>
          <w:color w:val="auto"/>
        </w:rPr>
        <w:t>”), certified by the Chief Executive Officer of the Company, which shall set forth, as of the Closing Date, the following:</w:t>
      </w:r>
    </w:p>
    <w:p>
      <w:pPr>
        <w:spacing w:after="0" w:line="94" w:lineRule="exact"/>
        <w:rPr>
          <w:rFonts w:ascii="Times New Roman" w:cs="Times New Roman" w:eastAsia="Times New Roman" w:hAnsi="Times New Roman"/>
          <w:sz w:val="18"/>
          <w:szCs w:val="18"/>
          <w:color w:val="auto"/>
        </w:rPr>
      </w:pPr>
    </w:p>
    <w:p>
      <w:pPr>
        <w:ind w:left="1760" w:right="459" w:firstLine="638"/>
        <w:spacing w:after="0" w:line="282" w:lineRule="auto"/>
        <w:tabs>
          <w:tab w:leader="none" w:pos="30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Seller, and the number of Shares held by such Seller, and such Seller’s Pro Rata Share;</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 to be issued to each Seller for such Seller’s</w:t>
      </w:r>
    </w:p>
    <w:p>
      <w:pPr>
        <w:spacing w:after="0" w:line="2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125" w:lineRule="exact"/>
        <w:rPr>
          <w:rFonts w:ascii="Times New Roman" w:cs="Times New Roman" w:eastAsia="Times New Roman" w:hAnsi="Times New Roman"/>
          <w:sz w:val="18"/>
          <w:szCs w:val="18"/>
          <w:color w:val="auto"/>
        </w:rPr>
      </w:pPr>
    </w:p>
    <w:p>
      <w:pPr>
        <w:jc w:val="both"/>
        <w:ind w:left="460" w:right="459" w:firstLine="642"/>
        <w:spacing w:after="0" w:line="266" w:lineRule="auto"/>
        <w:tabs>
          <w:tab w:leader="none" w:pos="1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Buyer shall be entitled to rely on the Consideration Spreadsheet in making payments under ARTICLE II and Buyer shall not be responsible for calculations or determination regarding such calculation in such Consideration Spreadsheet.</w:t>
      </w:r>
    </w:p>
    <w:p>
      <w:pPr>
        <w:spacing w:after="0" w:line="104"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2.05 Closing</w:t>
      </w:r>
      <w:r>
        <w:rPr>
          <w:rFonts w:ascii="Times New Roman" w:cs="Times New Roman" w:eastAsia="Times New Roman" w:hAnsi="Times New Roman"/>
          <w:sz w:val="18"/>
          <w:szCs w:val="18"/>
          <w:color w:val="auto"/>
        </w:rPr>
        <w:t>. Subject to the terms and conditions of this Agreement, the purchase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the Shares contemplated hereby shall take place at a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to be held remotely by exchange of documents and signatures (or their electronic counterparts) no later than two (2) Business Days after the last of the conditions to Closing set forth in ARTICLE VII have been satisfied or waived (other than conditions which, by their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nature, are to be satisfied on the Closing Date), or at such other time or on such other date or at such other place as the Sellers and Buyer may mutually agree upon in writing (the day on which the Closing takes place being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Contingent Consideration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59" w:firstLine="642"/>
        <w:spacing w:after="0" w:line="253" w:lineRule="auto"/>
        <w:tabs>
          <w:tab w:leader="none" w:pos="17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(i) the aggegate revenue generated by the Company during the twelve (12) months following the Closing Date (the “</w:t>
      </w:r>
      <w:r>
        <w:rPr>
          <w:rFonts w:ascii="Times New Roman" w:cs="Times New Roman" w:eastAsia="Times New Roman" w:hAnsi="Times New Roman"/>
          <w:sz w:val="18"/>
          <w:szCs w:val="18"/>
          <w:b w:val="1"/>
          <w:bCs w:val="1"/>
          <w:color w:val="auto"/>
        </w:rPr>
        <w:t>First Performance Period</w:t>
      </w:r>
      <w:r>
        <w:rPr>
          <w:rFonts w:ascii="Times New Roman" w:cs="Times New Roman" w:eastAsia="Times New Roman" w:hAnsi="Times New Roman"/>
          <w:sz w:val="18"/>
          <w:szCs w:val="18"/>
          <w:color w:val="auto"/>
        </w:rPr>
        <w:t xml:space="preserve">”) exceeds 100% of the Company’s Baseline Revenue (defined below) </w:t>
      </w:r>
      <w:r>
        <w:rPr>
          <w:rFonts w:ascii="Times New Roman" w:cs="Times New Roman" w:eastAsia="Times New Roman" w:hAnsi="Times New Roman"/>
          <w:sz w:val="18"/>
          <w:szCs w:val="18"/>
          <w:i w:val="1"/>
          <w:iCs w:val="1"/>
          <w:u w:val="single" w:color="auto"/>
          <w:color w:val="auto"/>
        </w:rPr>
        <w:t>or</w:t>
      </w:r>
      <w:r>
        <w:rPr>
          <w:rFonts w:ascii="Times New Roman" w:cs="Times New Roman" w:eastAsia="Times New Roman" w:hAnsi="Times New Roman"/>
          <w:sz w:val="18"/>
          <w:szCs w:val="18"/>
          <w:color w:val="auto"/>
        </w:rPr>
        <w:t xml:space="preserve"> (ii) the Adjusted EBITDA of the Company during the First Performance Period exceeds 100% of the Baseline Adjusted EBITDA (defined below), and (2) (i) the Company’s engineering and operations team has completed, to Buyer’s reasonable satisfaction, the integration of the Company’s software into Buyer’s product capabilities or (ii) during the First Performance Period, customers representing not less than seventy-five percent (75%) of the Company’s pre-Closing customer base continue to generate revenue or remain under contract with Buyer, then Buyer shall issue to each Seller their Pro Rata Share of two (2) million shares of Buyer’s Class B Common Stock; provided, however, that at the option of each Seller, each such Seller may elect to receive up to 25% of the shares they are entitled to receive pursuant to this section in cash in order to satisfy their respective tax obligations regarding the contingent share consideration, with such shares valued at the closing price thereof on the day of issuance.</w:t>
      </w:r>
    </w:p>
    <w:p>
      <w:pPr>
        <w:spacing w:after="0" w:line="108" w:lineRule="exact"/>
        <w:rPr>
          <w:rFonts w:ascii="Times New Roman" w:cs="Times New Roman" w:eastAsia="Times New Roman" w:hAnsi="Times New Roman"/>
          <w:sz w:val="18"/>
          <w:szCs w:val="18"/>
          <w:color w:val="auto"/>
        </w:rPr>
      </w:pPr>
    </w:p>
    <w:p>
      <w:pPr>
        <w:jc w:val="both"/>
        <w:ind w:left="460" w:right="459" w:firstLine="642"/>
        <w:spacing w:after="0" w:line="253" w:lineRule="auto"/>
        <w:tabs>
          <w:tab w:leader="none" w:pos="172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(i) the aggregate revenue generated by the Company during the twelve (12) months following the end of the First Performance Period (the “</w:t>
      </w:r>
      <w:r>
        <w:rPr>
          <w:rFonts w:ascii="Times New Roman" w:cs="Times New Roman" w:eastAsia="Times New Roman" w:hAnsi="Times New Roman"/>
          <w:sz w:val="18"/>
          <w:szCs w:val="18"/>
          <w:b w:val="1"/>
          <w:bCs w:val="1"/>
          <w:color w:val="auto"/>
        </w:rPr>
        <w:t>Second Performance Period</w:t>
      </w:r>
      <w:r>
        <w:rPr>
          <w:rFonts w:ascii="Times New Roman" w:cs="Times New Roman" w:eastAsia="Times New Roman" w:hAnsi="Times New Roman"/>
          <w:sz w:val="18"/>
          <w:szCs w:val="18"/>
          <w:color w:val="auto"/>
        </w:rPr>
        <w:t xml:space="preserve">”) exceeds 100% of the Company’s Baseline Revenue (defined below) </w:t>
      </w:r>
      <w:r>
        <w:rPr>
          <w:rFonts w:ascii="Times New Roman" w:cs="Times New Roman" w:eastAsia="Times New Roman" w:hAnsi="Times New Roman"/>
          <w:sz w:val="18"/>
          <w:szCs w:val="18"/>
          <w:i w:val="1"/>
          <w:iCs w:val="1"/>
          <w:u w:val="single" w:color="auto"/>
          <w:color w:val="auto"/>
        </w:rPr>
        <w:t>or</w:t>
      </w:r>
      <w:r>
        <w:rPr>
          <w:rFonts w:ascii="Times New Roman" w:cs="Times New Roman" w:eastAsia="Times New Roman" w:hAnsi="Times New Roman"/>
          <w:sz w:val="18"/>
          <w:szCs w:val="18"/>
          <w:color w:val="auto"/>
        </w:rPr>
        <w:t xml:space="preserve"> (ii) the Adjusted EBITDA of the Company during the Second Performance Period exceeds 100% of the Baseline Adjusted EBITDA (defined below), and (2) (i) the Company’s engineering and operations team has completed, to Buyer’s reasonable satisfaction, the integration of the Company’s software into Buyer’s product capabilities or (ii) during the Second Performance Period, customers representing not less than seventy-five percent (75%) of the Company’s pre-Closing customer base continue to generate revenue or remain under contract with Buyer, then Buyer shall issue to each Seller their Pro Rata Share of two (2) million shares of Buyer’s Class B Common Stock; provided, however, that at the option of each Seller, each such Seller may elect to receive up to 25% of the shares they are entitled to receive pursuant to this section in cash in order to satisfy their respective tax obligations regarding the contingent share consideration, with such shares valued at the closing price thereof on the day of issuance.</w:t>
      </w:r>
    </w:p>
    <w:p>
      <w:pPr>
        <w:spacing w:after="0" w:line="122" w:lineRule="exact"/>
        <w:rPr>
          <w:rFonts w:ascii="Times New Roman" w:cs="Times New Roman" w:eastAsia="Times New Roman" w:hAnsi="Times New Roman"/>
          <w:sz w:val="18"/>
          <w:szCs w:val="18"/>
          <w:color w:val="auto"/>
        </w:rPr>
      </w:pPr>
    </w:p>
    <w:p>
      <w:pPr>
        <w:jc w:val="both"/>
        <w:ind w:left="460" w:right="479" w:firstLine="642"/>
        <w:spacing w:after="0" w:line="261" w:lineRule="auto"/>
        <w:tabs>
          <w:tab w:leader="none" w:pos="17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2.06, “Baseline Revenue” and “Baseline Adjusted EBITDA” shall mean, respectively, the aggregate revenue and Adjusted EBITDA of the Company for the trailing twelve</w:t>
      </w:r>
    </w:p>
    <w:p>
      <w:pPr>
        <w:ind w:left="800" w:hanging="346"/>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immediately preceding the Closing Date, as calculated in accordance with past practices.</w:t>
      </w:r>
    </w:p>
    <w:p>
      <w:pPr>
        <w:spacing w:after="0" w:line="139" w:lineRule="exact"/>
        <w:rPr>
          <w:rFonts w:ascii="Times New Roman" w:cs="Times New Roman" w:eastAsia="Times New Roman" w:hAnsi="Times New Roman"/>
          <w:sz w:val="18"/>
          <w:szCs w:val="18"/>
          <w:color w:val="auto"/>
        </w:rPr>
      </w:pPr>
    </w:p>
    <w:p>
      <w:pPr>
        <w:jc w:val="both"/>
        <w:ind w:left="460" w:right="459" w:firstLine="642"/>
        <w:spacing w:after="0" w:line="255" w:lineRule="auto"/>
        <w:tabs>
          <w:tab w:leader="none" w:pos="172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undergoes a change in control prior to the end of the First Performance Period, the aggregate revenue and Adjusted EBITDA milestones under this Section 2.06 shall be deemed fully satisfied and Buyer shall issue to each Seller their Pro Rata Share of four (4) million shares of Buyer’s Class B Common Stock. If Buyer undergoes a change in control after the end of the First Performance Period, but before the end of the Second Performance Period, the aggregate revenue and Adjusted EBITDA milestones with respect to the Second Performance Period shall be deemed fully satisfied and Buyer shall issue to each Seller their Pro Rata Share of two (2) million shares of Buyer’s Class B Common Stock.</w:t>
      </w:r>
    </w:p>
    <w:p>
      <w:pPr>
        <w:spacing w:after="0" w:line="107" w:lineRule="exact"/>
        <w:rPr>
          <w:rFonts w:ascii="Times New Roman" w:cs="Times New Roman" w:eastAsia="Times New Roman" w:hAnsi="Times New Roman"/>
          <w:sz w:val="18"/>
          <w:szCs w:val="18"/>
          <w:color w:val="auto"/>
        </w:rPr>
      </w:pPr>
    </w:p>
    <w:p>
      <w:pPr>
        <w:jc w:val="both"/>
        <w:ind w:left="460" w:right="459" w:firstLine="642"/>
        <w:spacing w:after="0" w:line="256" w:lineRule="auto"/>
        <w:tabs>
          <w:tab w:leader="none" w:pos="171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within thirty (30) days following the end of the First Performance Period and Second Performance Period (as applicable), Buyer shall deliver a written notice (a “</w:t>
      </w:r>
      <w:r>
        <w:rPr>
          <w:rFonts w:ascii="Times New Roman" w:cs="Times New Roman" w:eastAsia="Times New Roman" w:hAnsi="Times New Roman"/>
          <w:sz w:val="18"/>
          <w:szCs w:val="18"/>
          <w:b w:val="1"/>
          <w:bCs w:val="1"/>
          <w:color w:val="auto"/>
        </w:rPr>
        <w:t>Contingent Payment Notice</w:t>
      </w:r>
      <w:r>
        <w:rPr>
          <w:rFonts w:ascii="Times New Roman" w:cs="Times New Roman" w:eastAsia="Times New Roman" w:hAnsi="Times New Roman"/>
          <w:sz w:val="18"/>
          <w:szCs w:val="18"/>
          <w:color w:val="auto"/>
        </w:rPr>
        <w:t>”) to Seller Representative setting forth Buyer’s calculation of (i) Company’s aggregate revenue for such period, and (ii) Company’s Adjusted EBITDA for such period (collectively, the “</w:t>
      </w:r>
      <w:r>
        <w:rPr>
          <w:rFonts w:ascii="Times New Roman" w:cs="Times New Roman" w:eastAsia="Times New Roman" w:hAnsi="Times New Roman"/>
          <w:sz w:val="18"/>
          <w:szCs w:val="18"/>
          <w:b w:val="1"/>
          <w:bCs w:val="1"/>
          <w:color w:val="auto"/>
        </w:rPr>
        <w:t>Revenue/Adjusted EBITDA Amounts</w:t>
      </w:r>
      <w:r>
        <w:rPr>
          <w:rFonts w:ascii="Times New Roman" w:cs="Times New Roman" w:eastAsia="Times New Roman" w:hAnsi="Times New Roman"/>
          <w:sz w:val="18"/>
          <w:szCs w:val="18"/>
          <w:color w:val="auto"/>
        </w:rPr>
        <w:t>”), along with the total number of shares to be issued to each Seller (if applicable), as determined in accordance with this Section 2.07(c).</w:t>
      </w:r>
    </w:p>
    <w:p>
      <w:pPr>
        <w:spacing w:after="0" w:line="119" w:lineRule="exact"/>
        <w:rPr>
          <w:rFonts w:ascii="Times New Roman" w:cs="Times New Roman" w:eastAsia="Times New Roman" w:hAnsi="Times New Roman"/>
          <w:sz w:val="18"/>
          <w:szCs w:val="18"/>
          <w:color w:val="auto"/>
        </w:rPr>
      </w:pPr>
    </w:p>
    <w:p>
      <w:pPr>
        <w:jc w:val="both"/>
        <w:ind w:left="460" w:right="459" w:firstLine="642"/>
        <w:spacing w:after="0" w:line="256" w:lineRule="auto"/>
        <w:tabs>
          <w:tab w:leader="none" w:pos="17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Seller Representative disagrees with Buyer’s calculation of the Revenue/Adjusted EBITDA Amounts for a particular period set forth in the applicable Contingent Payment Notice, Seller Representative must deliver to Buyer, within 30 days after the date Buyer delivered such Contingent Payment Notice to the Seller Representative, a written description of such disagreement in reasonable detail setting forth the amounts in dispute and the bases for such disagreement. If the Seller Representative does not timely deliver to Buyer a written notice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objecting to the calculation of the Revenue/Adjusted EBITDA Amounts set forth in such Contingent Payment Notice in such 30-day period, then the calculation of the Revenue/Adjusted EBITDA Amounts shall be deemed final and binding on the Parties. Buyer and the Seller Representative will negotiate in good faith, as promptly as possible, to resolve any disagreements noted by the Seller Representative in its timely-delivered written dispute notice. If, after a period of 15 days following the date on which such written description is timely delivered, Buyer and the Seller Representative have not resolved such disagreement, then either Buyer or the Seller Representative will be entitled to submit such disagreements to a mutually agreed-upon accounting firm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Buyer will grant to the Accounting Firm reasonable access to review Buyer’s books and records and to discuss the preparation of the applicable Contingent Payment Notice and Revenue/Adjusted EBITDA Amounts. The Accounting Firm shall be instructed to resolve the disagreements utilizing the relevant definitions and terms set forth in thisSection 2.6(f) The Accounting Firm will review and comment only on items in dispute, it being understood that the resolution of the contingent payment amount by the Accounting Firm may not be an amount less than Buyer’s calculation set forth on the Contingent Payment Notice nor more than the Seller Representative’s calculation set forth in the Seller Representative’s dispute notice. The Accounting Firm shall use commercially reasonable efforts to complete its work within 30 days following its engagement. Such resolution by the Accounting Firm shall be final and binding on the Parties. The expenses of the Accounting Firm shall be shared equally by Buyer and Sellers. Buyer’s obligation to remit any disputed contingent payment amount (if any) to the Sellers shall be suspended until the Revenue/Adjusted EBITDA Amounts are finally resolved either by agreement between Buyer and the Seller Representative or by the Accounting Firm.</w:t>
      </w:r>
    </w:p>
    <w:p>
      <w:pPr>
        <w:spacing w:after="0" w:line="122" w:lineRule="exact"/>
        <w:rPr>
          <w:sz w:val="20"/>
          <w:szCs w:val="20"/>
          <w:color w:val="auto"/>
        </w:rPr>
      </w:pPr>
    </w:p>
    <w:p>
      <w:pPr>
        <w:jc w:val="both"/>
        <w:ind w:left="460" w:right="459" w:firstLine="642"/>
        <w:spacing w:after="0" w:line="268" w:lineRule="auto"/>
        <w:tabs>
          <w:tab w:leader="none" w:pos="172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Buyer shall have the sole and absolute discretion regarding all matters related to the operation, management, financing and conduct of Buyer’s business (including the Company) at all times, whether before or after Closing, which should include, but is not limited to: (a) the hiring and termination of employees/personnel, (b) setting budgets, pricing and sales strategies, (c) merging, consolidating, or restructuring Buyer’s business or its assets, and (d) integrating the Company’s business with Buyer’s existing operations. Buyer shall not owe the Company or Sellers any fiduciary duty or implied covenant of good faith and fair dealing with respect to the operation of Buyer’s business (including the Company) or the achievement of all or any portion of the contingent consideration as set forth in this Section 2.06(f) beyond the express terms set forth in this Agreement. Without limiting the foregoing, during each Performance Period, Buyer shall act in a commercially reasonable manner with respect to the operation of the Company’s business and shall not, and shall cause each of its subsidiaries not to, and shall require each of their respective employees and agents not to, take any actions (or fail to take any action) in the operation of the Company’s business in bad faith, with the principal purpose of (i) avoiding the payment of any contingent consideration with respect to any particular Performance Period; or (ii) having a material direct negative effect on the Company’s aggregate revenue or Adjusted EBITDA for purposes of achieving the contingent consideration financial goals.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RELATING TO THE COMPANY</w:t>
      </w:r>
    </w:p>
    <w:p>
      <w:pPr>
        <w:spacing w:after="0" w:line="126"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correspondingly numbered Section of the Disclosure Schedules, the Sellers, severally and not jointly, represent and warrant to Buyer that the statements contained in this ARTICLE III are true and correct as of the date hereof and as of the Closing Date.</w:t>
      </w:r>
    </w:p>
    <w:p>
      <w:pPr>
        <w:spacing w:after="0" w:line="104" w:lineRule="exact"/>
        <w:rPr>
          <w:sz w:val="20"/>
          <w:szCs w:val="20"/>
          <w:color w:val="auto"/>
        </w:rPr>
      </w:pPr>
    </w:p>
    <w:p>
      <w:pPr>
        <w:jc w:val="both"/>
        <w:ind w:left="460" w:right="4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3.01 Organization and Qualification of the Company</w:t>
      </w:r>
      <w:r>
        <w:rPr>
          <w:rFonts w:ascii="Times New Roman" w:cs="Times New Roman" w:eastAsia="Times New Roman" w:hAnsi="Times New Roman"/>
          <w:sz w:val="18"/>
          <w:szCs w:val="18"/>
          <w:color w:val="auto"/>
        </w:rPr>
        <w:t>. The Company is 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organized, validly existing and in good standing under the Laws of the state of Delaware and has full corporate power and authority to own, operate or lease the properties and assets now owned, operated or leased by it and to carry on its business as it has been and is currently conducted. The Company is duly licensed or qualified to do business and is in good standing in each jurisdiction in which the properties owned or leased by it or the operation of its business as currently conducted makes such licensing or qualification necessary.</w:t>
      </w:r>
    </w:p>
    <w:p>
      <w:pPr>
        <w:spacing w:after="0" w:line="115" w:lineRule="exact"/>
        <w:rPr>
          <w:sz w:val="20"/>
          <w:szCs w:val="20"/>
          <w:color w:val="auto"/>
        </w:rPr>
      </w:pPr>
    </w:p>
    <w:p>
      <w:pPr>
        <w:jc w:val="both"/>
        <w:ind w:left="460" w:right="4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3.02 Enforceability and Authority of the Sellers</w:t>
      </w:r>
      <w:r>
        <w:rPr>
          <w:rFonts w:ascii="Times New Roman" w:cs="Times New Roman" w:eastAsia="Times New Roman" w:hAnsi="Times New Roman"/>
          <w:sz w:val="18"/>
          <w:szCs w:val="18"/>
          <w:color w:val="auto"/>
        </w:rPr>
        <w:t>. The execution and delivery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of this Agreement, the performance by the Sellers of their obligations hereunder, and the consummation by the Sellers of the transactions contemplated hereby have been duly authorized by all requisite action on the part of the Sellers. This Agreement has been duly executed and delivered by the Sellers, and (assuming due authorization, execution and delivery by Buyer) this Agreement constitutes a legal, valid and binding obligation of the Sellers enforceable against the Sellers in accordance with its terms.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3.03</w:t>
      </w:r>
      <w:r>
        <w:rPr>
          <w:sz w:val="20"/>
          <w:szCs w:val="20"/>
          <w:color w:val="auto"/>
        </w:rPr>
        <w:tab/>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60" w:right="459" w:firstLine="642"/>
        <w:spacing w:after="0" w:line="256" w:lineRule="auto"/>
        <w:tabs>
          <w:tab w:leader="none" w:pos="17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10,000 shares of common stock; consisting of 9,000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which 5,000 shares are designated Class A Common Stock and 4,000 shares are designated Class B Common Stock; and 1,000 shares of preferred stock, par value $.00001 per share. There are 5,000 shares of Class A Common Stock and 550 shares of Class B Common Stock issued and outstanding as of the close of business on the date hereof and constitute the Shares.</w:t>
      </w:r>
    </w:p>
    <w:p>
      <w:pPr>
        <w:spacing w:after="0" w:line="119" w:lineRule="exact"/>
        <w:rPr>
          <w:rFonts w:ascii="Times New Roman" w:cs="Times New Roman" w:eastAsia="Times New Roman" w:hAnsi="Times New Roman"/>
          <w:sz w:val="18"/>
          <w:szCs w:val="18"/>
          <w:color w:val="auto"/>
        </w:rPr>
      </w:pPr>
    </w:p>
    <w:p>
      <w:pPr>
        <w:jc w:val="both"/>
        <w:ind w:left="460" w:right="459" w:firstLine="642"/>
        <w:spacing w:after="0" w:line="254" w:lineRule="auto"/>
        <w:tabs>
          <w:tab w:leader="none" w:pos="17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subscription, warrant, option, convertible or exchangeable security, or other right (contingent or otherwise) to purchase or otherwise acquire equity securities of the Company is authorized or outstanding, except for stock options to be cancelled prior to Closing, and (ii) there is no commitment by the Company to issue shares, subscriptions, warrants, options, convertible or exchangeable securities, or other such rights or to distribute to holders of any of its equity securities any evidence of indebtedness or asset, to repurchase or redeem any securities of the Company or to grant, extend, accelerate the vesting of, change the price of, or otherwise amend any warrant, option, convertible or exchangeable security or other such right. There are no declared or accrued unpaid dividends with respect to any shares of Common Stock.</w:t>
      </w:r>
    </w:p>
    <w:p>
      <w:pPr>
        <w:spacing w:after="0" w:line="110" w:lineRule="exact"/>
        <w:rPr>
          <w:rFonts w:ascii="Times New Roman" w:cs="Times New Roman" w:eastAsia="Times New Roman" w:hAnsi="Times New Roman"/>
          <w:sz w:val="18"/>
          <w:szCs w:val="18"/>
          <w:color w:val="auto"/>
        </w:rPr>
      </w:pPr>
    </w:p>
    <w:p>
      <w:pPr>
        <w:jc w:val="both"/>
        <w:ind w:left="460" w:right="459" w:firstLine="642"/>
        <w:spacing w:after="0" w:line="256" w:lineRule="auto"/>
        <w:tabs>
          <w:tab w:leader="none" w:pos="171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Common Stock (including the Shares) are (i) duly authorized, validly issued, fully paid and non-assessable; (ii) not subject to any preemptive rights created by statute, the charter, by-laws or other organizational documents of the Company, or any agreement to which the Company is a party; and (iii) free of any Encumbrances created by the Company in respect thereof. All issued and outstanding shares of Common Stock (including the Shares) were issued in compliance with applicable Law.</w:t>
      </w:r>
    </w:p>
    <w:p>
      <w:pPr>
        <w:spacing w:after="0" w:line="119" w:lineRule="exact"/>
        <w:rPr>
          <w:rFonts w:ascii="Times New Roman" w:cs="Times New Roman" w:eastAsia="Times New Roman" w:hAnsi="Times New Roman"/>
          <w:sz w:val="18"/>
          <w:szCs w:val="18"/>
          <w:color w:val="auto"/>
        </w:rPr>
      </w:pPr>
    </w:p>
    <w:p>
      <w:pPr>
        <w:jc w:val="both"/>
        <w:ind w:left="460" w:right="459" w:firstLine="642"/>
        <w:spacing w:after="0" w:line="261" w:lineRule="auto"/>
        <w:tabs>
          <w:tab w:leader="none" w:pos="17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dividends, repurchases and redemptions of the capital stock (or other equity interests) of the Company were undertaken in compliance with the charter, by-laws or other organizational documents of the Company then in effect, any agreement to which the Company then was a party and in compliance with applicable Law.</w:t>
      </w:r>
    </w:p>
    <w:p>
      <w:pPr>
        <w:spacing w:after="0" w:line="108"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3.04 No Conflicts; Consents</w:t>
      </w:r>
      <w:r>
        <w:rPr>
          <w:rFonts w:ascii="Times New Roman" w:cs="Times New Roman" w:eastAsia="Times New Roman" w:hAnsi="Times New Roman"/>
          <w:sz w:val="18"/>
          <w:szCs w:val="18"/>
          <w:color w:val="auto"/>
        </w:rPr>
        <w:t>. The execution, delivery and performance by the Sellers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consummation of the transactions contemplated hereby, do not and will not: (a) conflict with or result in a violation or breach of, or default under, any provision of the charter, by-laws or other organizational documents of the Company; (b) conflict with or result in a violation or breach of any provision of any Law or Governmental Order applicable to the Company; (c) except as set forth in Section 3.04 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is a party or by which the Company is bound or to which any of its properties and assets are subject or any Permit affecting the properties, assets or business of the Company; or (d) result in the creation or imposition of any Encumbrance other than Permitted Encumbrances on any properties or assets of the Company. No consent, approval, Permit, Governmental Order, declaration or filing with, or notice to, any Governmental Authority is required by or with respect to the Company in connection with the consummation of the transactions contemplated hereby.</w:t>
      </w:r>
    </w:p>
    <w:p>
      <w:pPr>
        <w:spacing w:after="0" w:line="104"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3.05 Financial Statements</w:t>
      </w:r>
      <w:r>
        <w:rPr>
          <w:rFonts w:ascii="Times New Roman" w:cs="Times New Roman" w:eastAsia="Times New Roman" w:hAnsi="Times New Roman"/>
          <w:sz w:val="18"/>
          <w:szCs w:val="18"/>
          <w:color w:val="auto"/>
        </w:rPr>
        <w:t>. Complete copies of the Company’s audited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consisting of the balance sheet of the Company as of December 31, 2025, and the related statements of operations, stockholders’ equity and cash flows for the years then ended (the “</w:t>
      </w:r>
      <w:r>
        <w:rPr>
          <w:rFonts w:ascii="Times New Roman" w:cs="Times New Roman" w:eastAsia="Times New Roman" w:hAnsi="Times New Roman"/>
          <w:sz w:val="18"/>
          <w:szCs w:val="18"/>
          <w:b w:val="1"/>
          <w:bCs w:val="1"/>
          <w:color w:val="auto"/>
        </w:rPr>
        <w:t>Audited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have been, and unaudited financial statements consisting of the balance sheet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March 31, 2026 and the related statements of operations, stockholders’ equity and cash flows for the three-month period then ended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and together with the Audited Financial Statements,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will be, delivered to Buyer. The Financial Statements have been prepared in accordance with GAAP applied on a consistent basis throughout the period involved, subject, in the case of the Interim Financial Statements, to normal and recurring year-end adjustments (the effect of which will not be material to the Company) and the absence of notes (that, if presented, would not differ materially from those presented in the Audited Financial Statements). The Financial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Statements are based on the books and records of the Company, and fairly present the financial condition of the Company as of the respective dates they were prepared and the results of the operations of the Company for the periods indicated. The balance sheet of the Company as of December 31, 2025 is referred to herein as the “</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and the date thereof as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7"/>
          <w:szCs w:val="17"/>
          <w:b w:val="1"/>
          <w:bCs w:val="1"/>
          <w:color w:val="auto"/>
        </w:rPr>
        <w:t>Legal Proceedings; Governmental Orders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59" w:firstLine="642"/>
        <w:spacing w:after="0" w:line="261" w:lineRule="auto"/>
        <w:tabs>
          <w:tab w:leader="none" w:pos="171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threatened (a) against or by the Company affecting any of its properties or assets; or (b) against or by the Company that challenges or seeks to prevent, enjoin or otherwise delay the transactions contemplated by this Agreement. No event has occurred or circumstances exist that may give rise to, or serve as a basis for, any such Action.</w:t>
      </w:r>
    </w:p>
    <w:p>
      <w:pPr>
        <w:spacing w:after="0" w:line="98" w:lineRule="exact"/>
        <w:rPr>
          <w:rFonts w:ascii="Times New Roman" w:cs="Times New Roman" w:eastAsia="Times New Roman" w:hAnsi="Times New Roman"/>
          <w:sz w:val="18"/>
          <w:szCs w:val="18"/>
          <w:color w:val="auto"/>
        </w:rPr>
      </w:pPr>
    </w:p>
    <w:p>
      <w:pPr>
        <w:ind w:left="460" w:right="479" w:firstLine="642"/>
        <w:spacing w:after="0" w:line="282" w:lineRule="auto"/>
        <w:tabs>
          <w:tab w:leader="none" w:pos="172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Governmental Orders and no unsatisfied judgments, penalties or awards against or affecting the Company or any of its properties or assets.</w:t>
      </w:r>
    </w:p>
    <w:p>
      <w:pPr>
        <w:spacing w:after="0" w:line="90" w:lineRule="exact"/>
        <w:rPr>
          <w:sz w:val="20"/>
          <w:szCs w:val="20"/>
          <w:color w:val="auto"/>
        </w:rPr>
      </w:pPr>
    </w:p>
    <w:p>
      <w:pPr>
        <w:jc w:val="both"/>
        <w:ind w:left="460" w:right="4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3.07 Compliance With Laws</w:t>
      </w:r>
      <w:r>
        <w:rPr>
          <w:rFonts w:ascii="Times New Roman" w:cs="Times New Roman" w:eastAsia="Times New Roman" w:hAnsi="Times New Roman"/>
          <w:sz w:val="18"/>
          <w:szCs w:val="18"/>
          <w:color w:val="auto"/>
        </w:rPr>
        <w:t>. The Company is in compliance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Laws.</w:t>
      </w:r>
    </w:p>
    <w:p>
      <w:pPr>
        <w:spacing w:after="0" w:line="87"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3.08 Related Party Transactions</w:t>
      </w:r>
      <w:r>
        <w:rPr>
          <w:rFonts w:ascii="Times New Roman" w:cs="Times New Roman" w:eastAsia="Times New Roman" w:hAnsi="Times New Roman"/>
          <w:sz w:val="18"/>
          <w:szCs w:val="18"/>
          <w:color w:val="auto"/>
        </w:rPr>
        <w:t>. No executive officer or director of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owning 5% or more of the Shares (or any of such person’s immediate family members or Affiliates or associates) is a party to any Contract with or binding upon the Company or any of its assets, rights or properties not reflected in the Financial Statements, or has any interest in any property owned by the Company or has engaged in any transaction with any of the foregoing within the last twelve (12) months.</w:t>
      </w:r>
    </w:p>
    <w:p>
      <w:pPr>
        <w:spacing w:after="0" w:line="9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3.09 Title to Shares</w:t>
      </w:r>
      <w:r>
        <w:rPr>
          <w:rFonts w:ascii="Times New Roman" w:cs="Times New Roman" w:eastAsia="Times New Roman" w:hAnsi="Times New Roman"/>
          <w:sz w:val="18"/>
          <w:szCs w:val="18"/>
          <w:color w:val="auto"/>
        </w:rPr>
        <w:t>. Each Seller is the record and beneficial owner of the Shares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opposite such Seller’s name on Section 3.09 of the Disclosure Schedules, free and clear of all Encumbrances. No Seller is a party to any voting trust, stockholder agreement, proxy or other agreement or understanding with respect to the voting or transfer of any Shares. Upon consummation of the transactions contemplated by this Agreement, Buyer shall acquire from each Seller good, valid and marketable title to all Shares set forth opposite such Seller’s name on Section 3.09 of the Disclosure Schedules, free and clear of any Encumbrance, which collectively represent 100% of the outstanding equity securities of the Company.</w:t>
      </w:r>
    </w:p>
    <w:p>
      <w:pPr>
        <w:spacing w:after="0" w:line="115"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3.10 Securities Law Compliance</w:t>
      </w:r>
      <w:r>
        <w:rPr>
          <w:rFonts w:ascii="Times New Roman" w:cs="Times New Roman" w:eastAsia="Times New Roman" w:hAnsi="Times New Roman"/>
          <w:sz w:val="18"/>
          <w:szCs w:val="18"/>
          <w:color w:val="auto"/>
        </w:rPr>
        <w:t>. This Agreement is made with each Seller in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each Seller’s representation to the Buyer, which by each Seller’s execution of this Agreement, each Seller hereby confirms, that the Note(s) to be acquired by each Seller be acquired for investment for each Seller’s own account, not as a nominee or agent, and not with a view to the resale or distribution of any part thereof, and that each Seller has no present intention of selling, granting any participation in, or otherwise distributing the same. Each Seller has had an opportunity to discuss the Buyer’s business, management, financial affairs and the terms and conditions of the offering of the Notes with Buyer;’s management and has had an opportunity to review the Buyer’s facilities. Each Seller understands that the Notes have not been, and will not be, registered under the Securities Act, by reason of a specific exemption from the registration provisions of the Securities Act which depends upon, among other things, the bona fide nature of the investment intent and the accuracy of each Sellers’ representations as expressed herein. Each Seller understands that the Notes are “restricted securities” under applicable U.S. federal and state securities laws and that, pursuant to these laws, each Seller must hold the Notes indefinitely unless they are registered with the Securities and Exchange Commission and qualified by state authorities, or an exemption from such registration and qualification requirements is available. Each Seller acknowledges that the Buyer has no obligation to register or qualify the Notes, or the Common Stock into which they may be converted. Each Seller understands that no public market now exists for the Notes, and that the Buyer has made no assurances that a public market will ever exist for the Notes. Each Seller is an accredited investor as defined in Rule 501(a) of Regulation D promulgated under the Securities Act.</w:t>
      </w:r>
    </w:p>
    <w:p>
      <w:pPr>
        <w:spacing w:after="0" w:line="124" w:lineRule="exact"/>
        <w:rPr>
          <w:sz w:val="20"/>
          <w:szCs w:val="20"/>
          <w:color w:val="auto"/>
        </w:rPr>
      </w:pPr>
    </w:p>
    <w:p>
      <w:pPr>
        <w:jc w:val="both"/>
        <w:ind w:left="460" w:right="4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3.11 Brokers</w:t>
      </w:r>
      <w:r>
        <w:rPr>
          <w:rFonts w:ascii="Times New Roman" w:cs="Times New Roman" w:eastAsia="Times New Roman" w:hAnsi="Times New Roman"/>
          <w:sz w:val="18"/>
          <w:szCs w:val="18"/>
          <w:color w:val="auto"/>
        </w:rPr>
        <w:t>. No broker, finder or investment banker is entitled to any brokerage, finder’s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fee or commission in connection with the transactions contemplated by this Agreement based upon arrangements made by or on behalf of the Sellers.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3.12 Full Disclosure</w:t>
      </w:r>
      <w:r>
        <w:rPr>
          <w:rFonts w:ascii="Times New Roman" w:cs="Times New Roman" w:eastAsia="Times New Roman" w:hAnsi="Times New Roman"/>
          <w:sz w:val="18"/>
          <w:szCs w:val="18"/>
          <w:color w:val="auto"/>
        </w:rPr>
        <w:t>. No representation or warranty by Sellers in this Agreement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contained in the Disclosure Schedules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139"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Buyer represents and warrants to Sellers that the statements contained in this ARTICLE IV are true and correct as of the date hereof and as of the Closing Date.</w:t>
      </w:r>
    </w:p>
    <w:p>
      <w:pPr>
        <w:spacing w:after="0" w:line="77"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4.01 Organization and Authority of Buyer</w:t>
      </w:r>
      <w:r>
        <w:rPr>
          <w:rFonts w:ascii="Times New Roman" w:cs="Times New Roman" w:eastAsia="Times New Roman" w:hAnsi="Times New Roman"/>
          <w:sz w:val="18"/>
          <w:szCs w:val="18"/>
          <w:color w:val="auto"/>
        </w:rPr>
        <w:t>. Buyer is a corporation duly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validly existing and in good standing under the Laws of the state of Delaware. Buyer has full corporate power and authority to enter into this Agreement, to carry out its obligations hereunder and to consummate the transactions contemplated hereby. The execution and delivery by Buyer of this Agreement, the performance by Buyer of its obligations hereunder and the consummation by Buyer of the transactions contemplated hereby have been duly authorized by all requisite corporate action on the part of Buyer. This Agreement has been duly executed and delivered by Buyer, and (assuming due authorization, execution and delivery by Seller) this Agreement constitutes a legal, valid and binding obligation of Buyer enforceable against Buyer in accordance with its terms.</w:t>
      </w:r>
    </w:p>
    <w:p>
      <w:pPr>
        <w:spacing w:after="0" w:line="121"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4.02 No Conflicts; Consents</w:t>
      </w:r>
      <w:r>
        <w:rPr>
          <w:rFonts w:ascii="Times New Roman" w:cs="Times New Roman" w:eastAsia="Times New Roman" w:hAnsi="Times New Roman"/>
          <w:sz w:val="18"/>
          <w:szCs w:val="18"/>
          <w:color w:val="auto"/>
        </w:rPr>
        <w:t>. The execution, delivery and performance by Buyer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of the transactions contemplated hereby, do not and will not: (a) conflict with or result in a violation or breach of, or default under, any provision of the charter, by-laws or other organizational documents of Buyer; (b) conflict with or result in a violation or breach of any provision of any Law or Governmental Order applicable to Buyer; or (c)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consummation of the transactions contemplated hereby, except for such consents, approvals, Permits, Governmental Orders, declarations, filings or notices which, in the aggregate, would not have a material adverse effect on the ability of Buyer to consummate the transactions contemplated hereby on a timely basis.</w:t>
      </w:r>
    </w:p>
    <w:p>
      <w:pPr>
        <w:spacing w:after="0" w:line="115"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4.03 Valid Issuance. </w:t>
      </w:r>
      <w:r>
        <w:rPr>
          <w:rFonts w:ascii="Times New Roman" w:cs="Times New Roman" w:eastAsia="Times New Roman" w:hAnsi="Times New Roman"/>
          <w:sz w:val="18"/>
          <w:szCs w:val="18"/>
          <w:color w:val="auto"/>
        </w:rPr>
        <w:t>The Notes and any shares of the Company’s Class B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issuable upon conversion of the Notes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when issued and delivered in accordance with the terms and for the consideration set forth herein, will be validly issued, fully paid and nonassessable and free of restrictions on transfer other than restrictions on transfer under the Buyer’s organizational documents, the Notes, applicable state and federal securities laws and liens or encumbrances created by or imposed by the Sellers. Assuming the accuracy of the representations of the Sellers and subject to certain filings pursuant to federal and state securities laws that may be filed after the issue date of the Notes, if applicable, the Notes and the Conversion Shares will be issued in compliance with all applicable federal and state securities laws.</w:t>
      </w:r>
    </w:p>
    <w:p>
      <w:pPr>
        <w:spacing w:after="0" w:line="107"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4.04 Brokers</w:t>
      </w:r>
      <w:r>
        <w:rPr>
          <w:rFonts w:ascii="Times New Roman" w:cs="Times New Roman" w:eastAsia="Times New Roman" w:hAnsi="Times New Roman"/>
          <w:sz w:val="18"/>
          <w:szCs w:val="18"/>
          <w:color w:val="auto"/>
        </w:rPr>
        <w:t>. No broker, finder or investment banker is entitled to any brokerage, finder’s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fee or commission in connection with the transactions contemplated by this Agreement based upon arrangements made by or on behalf of Buyer.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35"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8"/>
          <w:szCs w:val="18"/>
          <w:b w:val="1"/>
          <w:bCs w:val="1"/>
          <w:color w:val="auto"/>
        </w:rPr>
        <w:t>No Solicitation of Other Bids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642"/>
        <w:spacing w:after="0" w:line="254" w:lineRule="auto"/>
        <w:tabs>
          <w:tab w:leader="none" w:pos="171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not, and shall not authorize or permit any of their Affiliates or any of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or other instruments (whether or not binding) regarding an Acquisition Proposal. Each Seller shall immediately cease and cause to be terminated, and shall cause all of their Representatives to immediately cease and cause to be terminated, all existing discussions or negotiations with any Persons conducted heretofore with respect to, or that could lead to, an Acquisition Proposal. For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purposes hereof,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mean any inquiry, proposal or offer from any Person (other than Buyer or any of its Affiliates) concerning (i) a merger, consolidation, liquidation, recapitalization, share exchange or other business combination transaction involving the Company; (ii) the issuance or acquisition of shares of capital stock or other equity securities of the Company; or (iii) the sale, lease, exchange or other disposition of any significant portion of the Company’s properties or assets.</w:t>
      </w:r>
    </w:p>
    <w:p>
      <w:pPr>
        <w:spacing w:after="0" w:line="116" w:lineRule="exact"/>
        <w:rPr>
          <w:sz w:val="20"/>
          <w:szCs w:val="20"/>
          <w:color w:val="auto"/>
        </w:rPr>
      </w:pPr>
    </w:p>
    <w:p>
      <w:pPr>
        <w:jc w:val="both"/>
        <w:ind w:left="460" w:right="459" w:firstLine="642"/>
        <w:spacing w:after="0" w:line="256" w:lineRule="auto"/>
        <w:tabs>
          <w:tab w:leader="none" w:pos="17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other obligations under this Section 5.01(b), each Seller shall promptly (and in any event within three (3) Business Days after receipt thereof by a Seller or any of its Representatives) advise Buyer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119" w:lineRule="exact"/>
        <w:rPr>
          <w:rFonts w:ascii="Times New Roman" w:cs="Times New Roman" w:eastAsia="Times New Roman" w:hAnsi="Times New Roman"/>
          <w:sz w:val="18"/>
          <w:szCs w:val="18"/>
          <w:color w:val="auto"/>
        </w:rPr>
      </w:pPr>
    </w:p>
    <w:p>
      <w:pPr>
        <w:jc w:val="both"/>
        <w:ind w:left="460" w:right="479" w:firstLine="642"/>
        <w:spacing w:after="0" w:line="261" w:lineRule="auto"/>
        <w:tabs>
          <w:tab w:leader="none" w:pos="171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agrees that the rights and remedies for noncompliance with this Section 5.01(c)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spacing w:after="0" w:line="9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5.02 Confidentiality</w:t>
      </w:r>
      <w:r>
        <w:rPr>
          <w:rFonts w:ascii="Times New Roman" w:cs="Times New Roman" w:eastAsia="Times New Roman" w:hAnsi="Times New Roman"/>
          <w:sz w:val="18"/>
          <w:szCs w:val="18"/>
          <w:color w:val="auto"/>
        </w:rPr>
        <w:t>. From and after the Closing, each Seller shall, and shall cause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Affiliates to, hold, and shall use its reasonable best efforts to cause its or their respective Representatives to hold, in confidence any and all information, whether written or oral, concerning the Company, except to the extent that such Seller can show that such information (a) is generally available to and known by the public through no fault of such Seller, any of its Affiliates or their respective Representatives; or (b) is lawfully acquired by such Seller, any of its Affiliates or their respective Representatives from and after the Closing from sources which are not prohibited from disclosing such information by a legal, contractual or fiduciary obligation. If such Seller or any of its Affiliates or their respective Representatives are compelled to disclose any information by judicial or administrative process or by other requirements of Law, such Seller shall promptly notify Buyer in writing and shall disclose only that portion of such information which such Seller is advised by its counsel in writing is legally required to be disclosed,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Seller shall use reasonable best efforts to obtain an appropriate protective order or other reasonable assurance that confidential treatment will be accorded such information.</w:t>
      </w:r>
    </w:p>
    <w:p>
      <w:pPr>
        <w:spacing w:after="0" w:line="120" w:lineRule="exact"/>
        <w:rPr>
          <w:sz w:val="20"/>
          <w:szCs w:val="20"/>
          <w:color w:val="auto"/>
        </w:rPr>
      </w:pPr>
    </w:p>
    <w:p>
      <w:pPr>
        <w:jc w:val="both"/>
        <w:ind w:left="460" w:right="4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5.03 Public Announcements</w:t>
      </w:r>
      <w:r>
        <w:rPr>
          <w:rFonts w:ascii="Times New Roman" w:cs="Times New Roman" w:eastAsia="Times New Roman" w:hAnsi="Times New Roman"/>
          <w:sz w:val="18"/>
          <w:szCs w:val="18"/>
          <w:color w:val="auto"/>
        </w:rPr>
        <w:t>. Unless otherwise required by applicable Law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requirements (based upon the reasonable advice of counsel), no party to this Agreement shall make any public announcements in respect of this Agreement or the transactions contemplated hereby or otherwise communicate with any news media without the prior written consent of the other party (which consent shall not be unreasonably withheld, conditioned or delayed), and the parties shall cooperate as to the timing and contents of any such announcement.</w:t>
      </w:r>
    </w:p>
    <w:p>
      <w:pPr>
        <w:spacing w:after="0" w:line="115" w:lineRule="exact"/>
        <w:rPr>
          <w:sz w:val="20"/>
          <w:szCs w:val="20"/>
          <w:color w:val="auto"/>
        </w:rPr>
      </w:pPr>
    </w:p>
    <w:p>
      <w:pPr>
        <w:jc w:val="both"/>
        <w:ind w:left="460" w:right="4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5.04 Consents</w:t>
      </w:r>
      <w:r>
        <w:rPr>
          <w:rFonts w:ascii="Times New Roman" w:cs="Times New Roman" w:eastAsia="Times New Roman" w:hAnsi="Times New Roman"/>
          <w:sz w:val="18"/>
          <w:szCs w:val="18"/>
          <w:color w:val="auto"/>
        </w:rPr>
        <w:t>. The Sellers shall use reasonable best efforts to give all notices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all consents from, all third parties that are described in Section 3.04 of the Disclosure Schedule.</w:t>
      </w:r>
    </w:p>
    <w:p>
      <w:pPr>
        <w:spacing w:after="0" w:line="74"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5.05</w:t>
      </w:r>
      <w:r>
        <w:rPr>
          <w:sz w:val="20"/>
          <w:szCs w:val="20"/>
          <w:color w:val="auto"/>
        </w:rPr>
        <w:tab/>
      </w:r>
      <w:r>
        <w:rPr>
          <w:rFonts w:ascii="Times New Roman" w:cs="Times New Roman" w:eastAsia="Times New Roman" w:hAnsi="Times New Roman"/>
          <w:sz w:val="17"/>
          <w:szCs w:val="17"/>
          <w:b w:val="1"/>
          <w:bCs w:val="1"/>
          <w:color w:val="auto"/>
        </w:rPr>
        <w:t>Proxy Statement; Buyer Stockholders’ Meeting</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59" w:firstLine="642"/>
        <w:spacing w:after="0" w:line="252" w:lineRule="auto"/>
        <w:tabs>
          <w:tab w:leader="none" w:pos="17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date of this Agreement, Buyer shall file with the U.S. Securities and Exchange Commission a preliminary proxy statement in connection with the transactions contemplated hereby (the “</w:t>
      </w:r>
      <w:r>
        <w:rPr>
          <w:rFonts w:ascii="Times New Roman" w:cs="Times New Roman" w:eastAsia="Times New Roman" w:hAnsi="Times New Roman"/>
          <w:sz w:val="18"/>
          <w:szCs w:val="18"/>
          <w:b w:val="1"/>
          <w:bCs w:val="1"/>
          <w:color w:val="auto"/>
        </w:rPr>
        <w:t>Buyer Proxy Statement</w:t>
      </w:r>
      <w:r>
        <w:rPr>
          <w:rFonts w:ascii="Times New Roman" w:cs="Times New Roman" w:eastAsia="Times New Roman" w:hAnsi="Times New Roman"/>
          <w:sz w:val="18"/>
          <w:szCs w:val="18"/>
          <w:color w:val="auto"/>
        </w:rPr>
        <w:t>”). Buyer shall not file the Buyer Proxy Statement or any amendment or supplement thereto without providing the Seller Representative a reasonable opportunity to review and comment thereon (which comments shall be reasonably considered by the Buyer). Each of Buyer and the Seller Representative shall use its reasonable best efforts to resolve, and each party agrees to consult and cooperate with the other parties in resolving, all SEC comments with respect to the Buyer Proxy Statement as promptly as practicable after receipt thereof and to cause the Buyer Proxy Statement in definitive form to be cleared by the SEC and mailed or made available to Buyer’s stockholders as promptly as reasonably practicable following filing with the SEC. Buyer agrees to consult with the Seller Representative and reasonably consider any comments provided by the Seller Representative prior to responding to SEC comments with respect to the Buyer Proxy Statement. Each of Buyer and the Seller Representative agrees to correct any information provided by it for use in the Buyer Proxy Statement which shall have become false or misleading and Buyer shall promptly, to the extent required by applicable law, prepare and mail or make available to its stockholders an amendment or supplement setting forth such correction. Buyer shall as soon as reasonably practicable (i) notify the Seller Representative of the receipt of any comments from the SEC with respect to the Buyer Proxy Statement and any request by the SEC for any amendment to the Buyer Proxy Statement or for additional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information and (ii) provide the Seller Representative with copies of all written correspondence between Buyer and its representatives, on the one hand, and the SEC, on the other hand, with respect to the Buyer Proxy Statement or the transactions contemplated hereby.</w:t>
      </w:r>
    </w:p>
    <w:p>
      <w:pPr>
        <w:spacing w:after="0" w:line="108" w:lineRule="exact"/>
        <w:rPr>
          <w:sz w:val="20"/>
          <w:szCs w:val="20"/>
          <w:color w:val="auto"/>
        </w:rPr>
      </w:pPr>
    </w:p>
    <w:p>
      <w:pPr>
        <w:jc w:val="both"/>
        <w:ind w:left="460" w:right="459" w:firstLine="642"/>
        <w:spacing w:after="0" w:line="251" w:lineRule="auto"/>
        <w:tabs>
          <w:tab w:leader="none" w:pos="172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as soon as practicable following the date on which Buyer is informed that the SEC has no further comments on the preliminary Buyer Proxy Statement, duly set a record date for, call, give notice of, convene and hold a stockholders’ meeting (“</w:t>
      </w:r>
      <w:r>
        <w:rPr>
          <w:rFonts w:ascii="Times New Roman" w:cs="Times New Roman" w:eastAsia="Times New Roman" w:hAnsi="Times New Roman"/>
          <w:sz w:val="18"/>
          <w:szCs w:val="18"/>
          <w:b w:val="1"/>
          <w:bCs w:val="1"/>
          <w:color w:val="auto"/>
        </w:rPr>
        <w:t>Buyer Stockholders’ Meeting</w:t>
      </w:r>
      <w:r>
        <w:rPr>
          <w:rFonts w:ascii="Times New Roman" w:cs="Times New Roman" w:eastAsia="Times New Roman" w:hAnsi="Times New Roman"/>
          <w:sz w:val="18"/>
          <w:szCs w:val="18"/>
          <w:color w:val="auto"/>
        </w:rPr>
        <w:t>”). Buyer shall not make any change to the recommendation by the Special Committee of Buyer’s Board of Directors of the transactions contemplated hereby and use its reasonable best efforts to (i) solicit from its stockholders proxies in favor of the adoption of this Agreement and the transactions contemplated by this Agreement, and (ii) take all other action necessary or advisable to secure the Majority of the Minority Vote (as defined in Section 7.01). Promptly following the filing of the Buyer Proxy Statement in definitive form, the Seller Representative shall deliver to Buyer the executed proxy of Russell Horowitz and Michael Arends voting all of the shares at the Buyer Stockholders’ Meeting in favor of the transactions contemplated by this Agreement in the same form as is contained in the Buyer Proxy Statement, which proxy shall be deemed irrevocable and coupled with an interest until the earlier of the Closing and the termination of this Agreement pursuant to its terms. Furthermore, the Seller Representative shall not take any action with the purpose of adversely affecting Buyer’s solicitation of stockholders proxies in favor of the adoption of this Agreement and the transactions contemplated by this Agreement or securing the Majority of the Minority Vote. If, at any time following the dissemination of the Buyer Proxy Statement, either Buyer or the Seller Representative reasonably determines in good faith (after consulting with the other) that a quorum or the Majority of the Minority Vote is unlikely to be obtained at the Buyer Stockholders’ Meeting, then Buyer shall have the right to adjourn or postpone the Buyer Stockholders’ Meeting from time to time; provided that no such adjournment or postponement shall delay the Buyer Stockholders’ Meeting by more than thirty (30) days from the currently scheduled date. During any such period of adjournment or postponement, Buyer shall continue in all respects to comply with its obligations under this Section 5.06(b).</w:t>
      </w:r>
    </w:p>
    <w:p>
      <w:pPr>
        <w:spacing w:after="0" w:line="134"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5.06 Registration Rights</w:t>
      </w:r>
      <w:r>
        <w:rPr>
          <w:rFonts w:ascii="Times New Roman" w:cs="Times New Roman" w:eastAsia="Times New Roman" w:hAnsi="Times New Roman"/>
          <w:sz w:val="18"/>
          <w:szCs w:val="18"/>
          <w:color w:val="auto"/>
        </w:rPr>
        <w:t>. The Buyer covenants that it shall, at the written request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Representative following the Closing Date, use its commercially reasonable efforts to file a registration statement (preferably on Form S-3) to register the resale of the Conversion Shares and any shares issued pursuant to Section 2.06 of this Agreement under the Securities Act as soon as practicable.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35"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6.01</w:t>
      </w:r>
      <w:r>
        <w:rPr>
          <w:sz w:val="20"/>
          <w:szCs w:val="20"/>
          <w:color w:val="auto"/>
        </w:rPr>
        <w:tab/>
      </w:r>
      <w:r>
        <w:rPr>
          <w:rFonts w:ascii="Times New Roman" w:cs="Times New Roman" w:eastAsia="Times New Roman" w:hAnsi="Times New Roman"/>
          <w:sz w:val="17"/>
          <w:szCs w:val="17"/>
          <w:b w:val="1"/>
          <w:bCs w:val="1"/>
          <w:color w:val="auto"/>
        </w:rPr>
        <w:t>Tax Covenants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79" w:firstLine="642"/>
        <w:spacing w:after="0" w:line="258" w:lineRule="auto"/>
        <w:tabs>
          <w:tab w:leader="none" w:pos="171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prepare, or cause to be prepared, all Tax Returns required to be filed by the Company after the Closing Date with respect to a Pre-Closing Tax Period. Any such Tax Return shall be prepared in a manner consistent with past practice (unless otherwise required by Law) and without a change of any election or any accounting method. The preparation and filing of any Tax Return of the Company that does not relate to a Pre-Closing Tax Period shall be exclusively within the control of Buyer.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35"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7.01 Conditions to Obligations of Buyer</w:t>
      </w:r>
      <w:r>
        <w:rPr>
          <w:rFonts w:ascii="Times New Roman" w:cs="Times New Roman" w:eastAsia="Times New Roman" w:hAnsi="Times New Roman"/>
          <w:sz w:val="18"/>
          <w:szCs w:val="18"/>
          <w:color w:val="auto"/>
        </w:rPr>
        <w:t>. The obligations of Buyer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shall be subject to the fulfillment or Buyer’s waiver, at or prior to the Closing, of each of the following conditions:</w:t>
      </w:r>
    </w:p>
    <w:p>
      <w:pPr>
        <w:spacing w:after="0" w:line="107" w:lineRule="exact"/>
        <w:rPr>
          <w:sz w:val="20"/>
          <w:szCs w:val="20"/>
          <w:color w:val="auto"/>
        </w:rPr>
      </w:pPr>
    </w:p>
    <w:p>
      <w:pPr>
        <w:jc w:val="both"/>
        <w:ind w:left="460" w:right="459" w:firstLine="642"/>
        <w:spacing w:after="0" w:line="254" w:lineRule="auto"/>
        <w:tabs>
          <w:tab w:leader="none" w:pos="17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Sellers contained in this Agreement shall be true and correct in 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except where the failure of such representations and warranties to be true and correct would not reasonably be expected to have, individually or in the aggregate, a Material Adverse Effect.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2"/>
        <w:spacing w:after="0" w:line="261" w:lineRule="auto"/>
        <w:tabs>
          <w:tab w:leader="none" w:pos="17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shall have duly performed and complied in all material respects with all agreements and covenants required by this Agreement to be performed or complied with by them prior to or on the Closing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with respect to agreements and covenants that are qualified by materiality, each Seller shall have performed such agreements and covenants, as so qualified, in all respects.</w:t>
      </w:r>
    </w:p>
    <w:p>
      <w:pPr>
        <w:spacing w:after="0" w:line="112"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approvals, consents and waivers that are listed on Section 3.04 of the Disclosure Schedules shall have been received, and executed counterparts thereof shall have been delivered to Buyer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94" w:lineRule="exact"/>
        <w:rPr>
          <w:rFonts w:ascii="Times New Roman" w:cs="Times New Roman" w:eastAsia="Times New Roman" w:hAnsi="Times New Roman"/>
          <w:sz w:val="18"/>
          <w:szCs w:val="18"/>
          <w:color w:val="auto"/>
        </w:rPr>
      </w:pPr>
    </w:p>
    <w:p>
      <w:pPr>
        <w:ind w:left="460" w:right="479" w:firstLine="642"/>
        <w:spacing w:after="0" w:line="282" w:lineRule="auto"/>
        <w:tabs>
          <w:tab w:leader="none" w:pos="17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(3) Business Days before Closing, the Seller Representative shall have delivered to Buyer the Consideration Spreadsheet.</w:t>
      </w:r>
    </w:p>
    <w:p>
      <w:pPr>
        <w:spacing w:after="0" w:line="94" w:lineRule="exact"/>
        <w:rPr>
          <w:rFonts w:ascii="Times New Roman" w:cs="Times New Roman" w:eastAsia="Times New Roman" w:hAnsi="Times New Roman"/>
          <w:sz w:val="18"/>
          <w:szCs w:val="18"/>
          <w:color w:val="auto"/>
        </w:rPr>
      </w:pPr>
    </w:p>
    <w:p>
      <w:pPr>
        <w:jc w:val="both"/>
        <w:ind w:left="460" w:right="459" w:firstLine="642"/>
        <w:spacing w:after="0" w:line="266" w:lineRule="auto"/>
        <w:tabs>
          <w:tab w:leader="none" w:pos="17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have delivered to Buyer a good standing certificate (or its equivalent) for the Company from the secretary of state or similar Governmental Authority of the jurisdiction under the Laws in which the Company is organized.</w:t>
      </w:r>
    </w:p>
    <w:p>
      <w:pPr>
        <w:spacing w:after="0" w:line="108"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delivered, or caused to be delivered, to Buyer stock certificates evidencing the Shares, free and clear of Encumbrances, duly endorsed in blank or accompanied by stock powers or other instruments of transfer duly executed in blank and with all required stock transfer tax stamps affixed.</w:t>
      </w:r>
    </w:p>
    <w:p>
      <w:pPr>
        <w:spacing w:after="0" w:line="94" w:lineRule="exact"/>
        <w:rPr>
          <w:rFonts w:ascii="Times New Roman" w:cs="Times New Roman" w:eastAsia="Times New Roman" w:hAnsi="Times New Roman"/>
          <w:sz w:val="18"/>
          <w:szCs w:val="18"/>
          <w:color w:val="auto"/>
        </w:rPr>
      </w:pPr>
    </w:p>
    <w:p>
      <w:pPr>
        <w:jc w:val="both"/>
        <w:ind w:left="460" w:right="459" w:firstLine="642"/>
        <w:spacing w:after="0" w:line="266" w:lineRule="auto"/>
        <w:tabs>
          <w:tab w:leader="none" w:pos="17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dated the Closing Date and signed by a duly authorized officer of the Company, that each of the conditions set forth in Section 7.01(a) and Section 7.01(b) have been satisfied.</w:t>
      </w:r>
    </w:p>
    <w:p>
      <w:pPr>
        <w:spacing w:after="0" w:line="108"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outstanding voting securities of Buyer other than those securities held by Russell Horowitz and Michael Arends approve the transactions contemplated by this Agreement (the “</w:t>
      </w:r>
      <w:r>
        <w:rPr>
          <w:rFonts w:ascii="Times New Roman" w:cs="Times New Roman" w:eastAsia="Times New Roman" w:hAnsi="Times New Roman"/>
          <w:sz w:val="18"/>
          <w:szCs w:val="18"/>
          <w:b w:val="1"/>
          <w:bCs w:val="1"/>
          <w:color w:val="auto"/>
        </w:rPr>
        <w:t>Majority of the Minority Vote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have delivered to Buyer such other documents or instruments as Buyer reasonably requests and are reasonably necessary to consummate the transactions contemplated by this Agreement.</w:t>
      </w:r>
    </w:p>
    <w:p>
      <w:pPr>
        <w:spacing w:after="0" w:line="91" w:lineRule="exact"/>
        <w:rPr>
          <w:sz w:val="20"/>
          <w:szCs w:val="20"/>
          <w:color w:val="auto"/>
        </w:rPr>
      </w:pPr>
    </w:p>
    <w:p>
      <w:pPr>
        <w:jc w:val="both"/>
        <w:ind w:left="460" w:right="4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7.02 Conditions to Obligations of Sellers</w:t>
      </w:r>
      <w:r>
        <w:rPr>
          <w:rFonts w:ascii="Times New Roman" w:cs="Times New Roman" w:eastAsia="Times New Roman" w:hAnsi="Times New Roman"/>
          <w:sz w:val="18"/>
          <w:szCs w:val="18"/>
          <w:color w:val="auto"/>
        </w:rPr>
        <w:t>. The obligations of Sellers to consummate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shall be subject to the fulfillment or the Seller Representative’s waiver (on behalf of Sellers), at or prior to the Closing, of each of the following conditions:</w:t>
      </w:r>
    </w:p>
    <w:p>
      <w:pPr>
        <w:spacing w:after="0" w:line="107" w:lineRule="exact"/>
        <w:rPr>
          <w:sz w:val="20"/>
          <w:szCs w:val="20"/>
          <w:color w:val="auto"/>
        </w:rPr>
      </w:pPr>
    </w:p>
    <w:p>
      <w:pPr>
        <w:jc w:val="both"/>
        <w:ind w:left="460" w:right="459" w:firstLine="642"/>
        <w:spacing w:after="0" w:line="254" w:lineRule="auto"/>
        <w:tabs>
          <w:tab w:leader="none" w:pos="17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contained in this Agreement shall be true and correct in 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 except where the failure of such representations and warranties to be so true and correct would not reasonably be expected to have, individually or in the aggregate, a material adverse effect on Buyer’s ability to consummate the transactions contemplated by this Agreement.</w:t>
      </w:r>
    </w:p>
    <w:p>
      <w:pPr>
        <w:spacing w:after="0" w:line="124" w:lineRule="exact"/>
        <w:rPr>
          <w:rFonts w:ascii="Times New Roman" w:cs="Times New Roman" w:eastAsia="Times New Roman" w:hAnsi="Times New Roman"/>
          <w:sz w:val="18"/>
          <w:szCs w:val="18"/>
          <w:color w:val="auto"/>
        </w:rPr>
      </w:pPr>
    </w:p>
    <w:p>
      <w:pPr>
        <w:jc w:val="both"/>
        <w:ind w:left="460" w:right="459" w:firstLine="642"/>
        <w:spacing w:after="0" w:line="261" w:lineRule="auto"/>
        <w:tabs>
          <w:tab w:leader="none" w:pos="172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duly performed and complied in all material respects with all agreements and covenants required by this Agreement to be performed or complied with by it prior to or on the Closing Date;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with respect to agreements and covenants that are qualified by materiality, Buyer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such agreements and covenants, as so qualified, in all respects.</w:t>
      </w:r>
    </w:p>
    <w:p>
      <w:pPr>
        <w:spacing w:after="0" w:line="98" w:lineRule="exact"/>
        <w:rPr>
          <w:rFonts w:ascii="Times New Roman" w:cs="Times New Roman" w:eastAsia="Times New Roman" w:hAnsi="Times New Roman"/>
          <w:sz w:val="18"/>
          <w:szCs w:val="18"/>
          <w:color w:val="auto"/>
        </w:rPr>
      </w:pPr>
    </w:p>
    <w:p>
      <w:pPr>
        <w:ind w:left="1700" w:hanging="598"/>
        <w:spacing w:after="0"/>
        <w:tabs>
          <w:tab w:leader="none" w:pos="1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delivered to Sellers the Notes.</w:t>
      </w:r>
    </w:p>
    <w:p>
      <w:pPr>
        <w:spacing w:after="0" w:line="157"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2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have received a certificate, dated the Closing Date and signed by a duly authorized officer of Buyer, that each of the conditions set forth in Section 7.02(a) and Section 7.02(b) have been satisfied.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2"/>
        <w:spacing w:after="0" w:line="256" w:lineRule="auto"/>
        <w:tabs>
          <w:tab w:leader="none" w:pos="17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have received a certificate of the Secretary or an Assistant Secretary (or equivalent officer) of Buyer certifying that attached thereto are true and complete copies of all resolutions adopted by the board of directors of Buyer authorizing the execution, delivery and performance of this Agreement and the consummation of the transactions contemplated hereby, and that all such resolutions are in full force and effect and are all the resolutions adopted in connection with the transactions contemplated hereby.</w:t>
      </w:r>
    </w:p>
    <w:p>
      <w:pPr>
        <w:spacing w:after="0" w:line="119" w:lineRule="exact"/>
        <w:rPr>
          <w:rFonts w:ascii="Times New Roman" w:cs="Times New Roman" w:eastAsia="Times New Roman" w:hAnsi="Times New Roman"/>
          <w:sz w:val="18"/>
          <w:szCs w:val="18"/>
          <w:color w:val="auto"/>
        </w:rPr>
      </w:pPr>
    </w:p>
    <w:p>
      <w:pPr>
        <w:jc w:val="both"/>
        <w:ind w:left="460" w:right="479" w:firstLine="642"/>
        <w:spacing w:after="0" w:line="266" w:lineRule="auto"/>
        <w:tabs>
          <w:tab w:leader="none" w:pos="17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delivered to the Sellers such other documents or instruments as the Sellers reasonably request and are reasonably necessary to consummate the transactions contemplated by this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8.01 Survival</w:t>
      </w:r>
      <w:r>
        <w:rPr>
          <w:rFonts w:ascii="Times New Roman" w:cs="Times New Roman" w:eastAsia="Times New Roman" w:hAnsi="Times New Roman"/>
          <w:sz w:val="18"/>
          <w:szCs w:val="18"/>
          <w:color w:val="auto"/>
        </w:rPr>
        <w:t>. Subject to the limitations and other provisions of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contained herein shall survive the Closing and shall remain in full force and effect until the date that is fifteen (15) months from the Closing Date. All covenants and agreements of the parties contained herein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17" w:lineRule="exact"/>
        <w:rPr>
          <w:sz w:val="20"/>
          <w:szCs w:val="20"/>
          <w:color w:val="auto"/>
        </w:rPr>
      </w:pPr>
    </w:p>
    <w:p>
      <w:pPr>
        <w:jc w:val="both"/>
        <w:ind w:left="460" w:right="4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8.02 Indemnification By Sellers</w:t>
      </w:r>
      <w:r>
        <w:rPr>
          <w:rFonts w:ascii="Times New Roman" w:cs="Times New Roman" w:eastAsia="Times New Roman" w:hAnsi="Times New Roman"/>
          <w:sz w:val="18"/>
          <w:szCs w:val="18"/>
          <w:color w:val="auto"/>
        </w:rPr>
        <w:t>. Subject to the other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VIII, from and after Closing, Sellers shall indemnify and defend each of Buyer and its Affiliates (including the Company) and their respective Representatives (collectively, the “</w:t>
      </w:r>
      <w:r>
        <w:rPr>
          <w:rFonts w:ascii="Times New Roman" w:cs="Times New Roman" w:eastAsia="Times New Roman" w:hAnsi="Times New Roman"/>
          <w:sz w:val="18"/>
          <w:szCs w:val="18"/>
          <w:b w:val="1"/>
          <w:bCs w:val="1"/>
          <w:color w:val="auto"/>
        </w:rPr>
        <w:t>Buyer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119" w:lineRule="exact"/>
        <w:rPr>
          <w:sz w:val="20"/>
          <w:szCs w:val="20"/>
          <w:color w:val="auto"/>
        </w:rPr>
      </w:pPr>
    </w:p>
    <w:p>
      <w:pPr>
        <w:jc w:val="both"/>
        <w:ind w:left="460" w:right="459" w:firstLine="642"/>
        <w:spacing w:after="0" w:line="258" w:lineRule="auto"/>
        <w:tabs>
          <w:tab w:leader="none" w:pos="171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any Seller contained in this Agreement or in any certificate or instrument delivered by or on behalf of any Seller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spacing w:after="0" w:line="102" w:lineRule="exact"/>
        <w:rPr>
          <w:rFonts w:ascii="Times New Roman" w:cs="Times New Roman" w:eastAsia="Times New Roman" w:hAnsi="Times New Roman"/>
          <w:sz w:val="18"/>
          <w:szCs w:val="18"/>
          <w:color w:val="auto"/>
        </w:rPr>
      </w:pPr>
    </w:p>
    <w:p>
      <w:pPr>
        <w:ind w:left="460" w:right="479" w:firstLine="642"/>
        <w:spacing w:after="0" w:line="282" w:lineRule="auto"/>
        <w:tabs>
          <w:tab w:leader="none" w:pos="17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covenant, agreement or obligation to be performed by any Seller pursuant to this Agreement.</w:t>
      </w:r>
    </w:p>
    <w:p>
      <w:pPr>
        <w:spacing w:after="0" w:line="9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The obligation to provide indemnification under Section 8.02 shall be pro rata in accordance with each Seller’s Pro Rata Share (such that the total amount of such indemnity is equal to 100% of the applicable Losses). Each Seller’s obligation to provide indemnification pursuant to this Section 8.02 shall be several and not joint.</w:t>
      </w:r>
    </w:p>
    <w:p>
      <w:pPr>
        <w:spacing w:after="0" w:line="108" w:lineRule="exact"/>
        <w:rPr>
          <w:sz w:val="20"/>
          <w:szCs w:val="20"/>
          <w:color w:val="auto"/>
        </w:rPr>
      </w:pPr>
    </w:p>
    <w:p>
      <w:pPr>
        <w:jc w:val="both"/>
        <w:ind w:left="460" w:right="4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8.03 Certain Limitations</w:t>
      </w:r>
      <w:r>
        <w:rPr>
          <w:rFonts w:ascii="Times New Roman" w:cs="Times New Roman" w:eastAsia="Times New Roman" w:hAnsi="Times New Roman"/>
          <w:sz w:val="18"/>
          <w:szCs w:val="18"/>
          <w:color w:val="auto"/>
        </w:rPr>
        <w:t>. The indemnification provided for in Section 8.02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limitations:</w:t>
      </w:r>
    </w:p>
    <w:p>
      <w:pPr>
        <w:spacing w:after="0" w:line="78" w:lineRule="exact"/>
        <w:rPr>
          <w:sz w:val="20"/>
          <w:szCs w:val="20"/>
          <w:color w:val="auto"/>
        </w:rPr>
      </w:pPr>
    </w:p>
    <w:p>
      <w:pPr>
        <w:jc w:val="both"/>
        <w:ind w:left="460" w:right="459" w:firstLine="642"/>
        <w:spacing w:after="0" w:line="266" w:lineRule="auto"/>
        <w:tabs>
          <w:tab w:leader="none" w:pos="17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Losses for which Sellers shall be liable shall not exceed 10% of the Purchase Price; provided, however, that any Losses that arise due to an inaccuracy or breach of Section 3.09 shall be capped at 100% of the Purchase Price.</w:t>
      </w:r>
    </w:p>
    <w:p>
      <w:pPr>
        <w:spacing w:after="0" w:line="108" w:lineRule="exact"/>
        <w:rPr>
          <w:rFonts w:ascii="Times New Roman" w:cs="Times New Roman" w:eastAsia="Times New Roman" w:hAnsi="Times New Roman"/>
          <w:sz w:val="18"/>
          <w:szCs w:val="18"/>
          <w:color w:val="auto"/>
        </w:rPr>
      </w:pPr>
    </w:p>
    <w:p>
      <w:pPr>
        <w:ind w:left="460" w:right="459" w:firstLine="642"/>
        <w:spacing w:after="0" w:line="282" w:lineRule="auto"/>
        <w:tabs>
          <w:tab w:leader="none" w:pos="172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subject to deductible of 1% of Purchase Price, reduced by the amount of insurance proceeds actually received, and Buyer obligated to mitigate any Losses.</w:t>
      </w:r>
    </w:p>
    <w:p>
      <w:pPr>
        <w:spacing w:after="0" w:line="90"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8.04</w:t>
      </w:r>
      <w:r>
        <w:rPr>
          <w:sz w:val="20"/>
          <w:szCs w:val="20"/>
          <w:color w:val="auto"/>
        </w:rPr>
        <w:tab/>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642"/>
        <w:spacing w:after="0" w:line="266" w:lineRule="auto"/>
        <w:tabs>
          <w:tab w:leader="none" w:pos="17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a Loss is agreed to by the Indemnifying Party or finally adjudicated to be payable pursuant to this ARTICLE VIII, the Company shall offset the amount of such Loss against its Note to such Indemnifying Party.</w:t>
      </w:r>
    </w:p>
    <w:p>
      <w:pPr>
        <w:spacing w:after="0" w:line="108" w:lineRule="exact"/>
        <w:rPr>
          <w:rFonts w:ascii="Times New Roman" w:cs="Times New Roman" w:eastAsia="Times New Roman" w:hAnsi="Times New Roman"/>
          <w:sz w:val="18"/>
          <w:szCs w:val="18"/>
          <w:color w:val="auto"/>
        </w:rPr>
      </w:pPr>
    </w:p>
    <w:p>
      <w:pPr>
        <w:ind w:left="460" w:right="459" w:firstLine="642"/>
        <w:spacing w:after="0" w:line="282" w:lineRule="auto"/>
        <w:tabs>
          <w:tab w:leader="none" w:pos="172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payable to a Buyer Indemnitee pursuant to this ARTICLE VIII shall be satisfied from Sellers, severally and not jointly (in accordance with their Pro Rata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8.05 Tax Treatment of Indemnification Payments</w:t>
      </w:r>
      <w:r>
        <w:rPr>
          <w:rFonts w:ascii="Times New Roman" w:cs="Times New Roman" w:eastAsia="Times New Roman" w:hAnsi="Times New Roman"/>
          <w:sz w:val="18"/>
          <w:szCs w:val="18"/>
          <w:color w:val="auto"/>
        </w:rPr>
        <w:t>. All indemnification 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shall be treated by the parties as an adjustment to the Purchase Price for Tax purposes, unless otherwise required by Law.</w:t>
      </w:r>
    </w:p>
    <w:p>
      <w:pPr>
        <w:spacing w:after="0" w:line="103"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8.06 Exclusive Remedies</w:t>
      </w:r>
      <w:r>
        <w:rPr>
          <w:rFonts w:ascii="Times New Roman" w:cs="Times New Roman" w:eastAsia="Times New Roman" w:hAnsi="Times New Roman"/>
          <w:sz w:val="18"/>
          <w:szCs w:val="18"/>
          <w:color w:val="auto"/>
        </w:rPr>
        <w:t>. Subject to and except for Section 10.12,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agree that from and after Closing their sole and exclusive remedy with respect to any and all claims (other than claims arising from fraud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ARTICLE VIII. In furtherance of the foregoing, except with respect to Section 10.12,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ARTICLE VIII. Nothing in this Section 8.07 shall limit any Person’s right to seek and obtain any equitable relief to which any Person shall be entitled or to seek any remedy on account of any party’s fraud.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22"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 This Agreement may be terminated at any time prior to the Closing:</w:t>
      </w:r>
    </w:p>
    <w:p>
      <w:pPr>
        <w:spacing w:after="0" w:line="162" w:lineRule="exact"/>
        <w:rPr>
          <w:sz w:val="20"/>
          <w:szCs w:val="20"/>
          <w:color w:val="auto"/>
        </w:rPr>
      </w:pPr>
    </w:p>
    <w:p>
      <w:pPr>
        <w:ind w:left="1700" w:hanging="598"/>
        <w:spacing w:after="0"/>
        <w:tabs>
          <w:tab w:leader="none" w:pos="1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Sellers and Buyer;</w:t>
      </w:r>
    </w:p>
    <w:p>
      <w:pPr>
        <w:spacing w:after="0" w:line="157" w:lineRule="exact"/>
        <w:rPr>
          <w:rFonts w:ascii="Times New Roman" w:cs="Times New Roman" w:eastAsia="Times New Roman" w:hAnsi="Times New Roman"/>
          <w:sz w:val="18"/>
          <w:szCs w:val="18"/>
          <w:color w:val="auto"/>
        </w:rPr>
      </w:pPr>
    </w:p>
    <w:p>
      <w:pPr>
        <w:jc w:val="both"/>
        <w:ind w:left="460" w:right="459" w:firstLine="642"/>
        <w:spacing w:after="0" w:line="256" w:lineRule="auto"/>
        <w:tabs>
          <w:tab w:leader="none" w:pos="17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Seller Representative or Buyer, upon written notice to the other party, if the transactions contemplated by this Agreement have not been consummated on or before September 30, 2026 (the “</w:t>
      </w:r>
      <w:r>
        <w:rPr>
          <w:rFonts w:ascii="Times New Roman" w:cs="Times New Roman" w:eastAsia="Times New Roman" w:hAnsi="Times New Roman"/>
          <w:sz w:val="18"/>
          <w:szCs w:val="18"/>
          <w:b w:val="1"/>
          <w:bCs w:val="1"/>
          <w:color w:val="auto"/>
        </w:rPr>
        <w:t>Drop Dead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terminate this Agreement pursuant to this Section 9.01(b) shall not be available to any party whose material breach of any representation, warranty, covenant, or agreement set forth in this Agreement has been the principal cause of, or primarily resulted in, the failure of the transactions contemplated by this Agreement to be consummated on or before the Drop Dead Date;</w:t>
      </w:r>
    </w:p>
    <w:p>
      <w:pPr>
        <w:spacing w:after="0" w:line="106" w:lineRule="exact"/>
        <w:rPr>
          <w:rFonts w:ascii="Times New Roman" w:cs="Times New Roman" w:eastAsia="Times New Roman" w:hAnsi="Times New Roman"/>
          <w:sz w:val="18"/>
          <w:szCs w:val="18"/>
          <w:color w:val="auto"/>
        </w:rPr>
      </w:pPr>
    </w:p>
    <w:p>
      <w:pPr>
        <w:jc w:val="both"/>
        <w:ind w:left="460" w:right="459" w:firstLine="642"/>
        <w:spacing w:after="0" w:line="258" w:lineRule="auto"/>
        <w:tabs>
          <w:tab w:leader="none" w:pos="171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written notice to the Sellers if Buyer is not then in material breach of any provision of this Agreement and there has been a breach, inaccuracy in or failure to perform any representation, warranty, covenant or agreement made by the Sellers pursuant to this Agreement that would give rise to the failure of any of the conditions specified in ARTICLE VII and such breach, inaccuracy or failure has not been cured by the Sellers within ten (10) days of Sellers’ receipt of written notice of such breach from Buyer; or</w:t>
      </w:r>
    </w:p>
    <w:p>
      <w:pPr>
        <w:spacing w:after="0" w:line="115" w:lineRule="exact"/>
        <w:rPr>
          <w:rFonts w:ascii="Times New Roman" w:cs="Times New Roman" w:eastAsia="Times New Roman" w:hAnsi="Times New Roman"/>
          <w:sz w:val="18"/>
          <w:szCs w:val="18"/>
          <w:color w:val="auto"/>
        </w:rPr>
      </w:pPr>
    </w:p>
    <w:p>
      <w:pPr>
        <w:jc w:val="both"/>
        <w:ind w:left="460" w:right="459" w:firstLine="642"/>
        <w:spacing w:after="0" w:line="258" w:lineRule="auto"/>
        <w:tabs>
          <w:tab w:leader="none" w:pos="17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Sellers by written notice to Buyer if the Sellers are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ARTICLE VII and such breach, inaccuracy or failure has not been cured by Buyer within ten (10) days of Buyer’s receipt of written notice of such breach from the Sellers.</w:t>
      </w:r>
    </w:p>
    <w:p>
      <w:pPr>
        <w:spacing w:after="0" w:line="112" w:lineRule="exact"/>
        <w:rPr>
          <w:sz w:val="20"/>
          <w:szCs w:val="20"/>
          <w:color w:val="auto"/>
        </w:rPr>
      </w:pPr>
    </w:p>
    <w:p>
      <w:pPr>
        <w:jc w:val="both"/>
        <w:ind w:left="460" w:right="4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9.02 Effect of Termination</w:t>
      </w:r>
      <w:r>
        <w:rPr>
          <w:rFonts w:ascii="Times New Roman" w:cs="Times New Roman" w:eastAsia="Times New Roman" w:hAnsi="Times New Roman"/>
          <w:sz w:val="18"/>
          <w:szCs w:val="18"/>
          <w:color w:val="auto"/>
        </w:rPr>
        <w:t>. In the event of the termination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Article, this Agreement shall forthwith become void and there shall be no liability on the part of any party hereto except:</w:t>
      </w:r>
    </w:p>
    <w:p>
      <w:pPr>
        <w:spacing w:after="0" w:line="94" w:lineRule="exact"/>
        <w:rPr>
          <w:sz w:val="20"/>
          <w:szCs w:val="20"/>
          <w:color w:val="auto"/>
        </w:rPr>
      </w:pPr>
    </w:p>
    <w:p>
      <w:pPr>
        <w:ind w:left="1700" w:hanging="598"/>
        <w:spacing w:after="0"/>
        <w:tabs>
          <w:tab w:leader="none" w:pos="1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obligations set forth in this ARTICLE IX and ARTICLE X hereof shall survive</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and</w:t>
      </w:r>
    </w:p>
    <w:p>
      <w:pPr>
        <w:spacing w:after="0" w:line="139" w:lineRule="exact"/>
        <w:rPr>
          <w:rFonts w:ascii="Times New Roman" w:cs="Times New Roman" w:eastAsia="Times New Roman" w:hAnsi="Times New Roman"/>
          <w:sz w:val="18"/>
          <w:szCs w:val="18"/>
          <w:color w:val="auto"/>
        </w:rPr>
      </w:pPr>
    </w:p>
    <w:p>
      <w:pPr>
        <w:ind w:left="1720" w:hanging="618"/>
        <w:spacing w:after="0"/>
        <w:tabs>
          <w:tab w:leader="none" w:pos="1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nothing herein shall relieve any party hereto from liability for any willful breach of any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10.01</w:t>
      </w:r>
      <w:r>
        <w:rPr>
          <w:sz w:val="20"/>
          <w:szCs w:val="20"/>
          <w:color w:val="auto"/>
        </w:rPr>
        <w:tab/>
      </w:r>
      <w:r>
        <w:rPr>
          <w:rFonts w:ascii="Times New Roman" w:cs="Times New Roman" w:eastAsia="Times New Roman" w:hAnsi="Times New Roman"/>
          <w:sz w:val="17"/>
          <w:szCs w:val="17"/>
          <w:b w:val="1"/>
          <w:bCs w:val="1"/>
          <w:color w:val="auto"/>
        </w:rPr>
        <w:t>Seller Representative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59" w:firstLine="642"/>
        <w:spacing w:after="0" w:line="261" w:lineRule="auto"/>
        <w:tabs>
          <w:tab w:leader="none" w:pos="17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irrevocably authorizes and appoints Seller Representative as such Person’s representative and attorney-in-fact to act on behalf of such Person with respect to this Agreement and to take any and all actions and make any decisions required or permitted to be taken by Seller Representative pursuant to this Agreement, including the exercise of the power to:</w:t>
      </w:r>
    </w:p>
    <w:p>
      <w:pPr>
        <w:spacing w:after="0" w:line="98"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and receive notices and communications;</w:t>
      </w:r>
    </w:p>
    <w:p>
      <w:pPr>
        <w:spacing w:after="0" w:line="157" w:lineRule="exact"/>
        <w:rPr>
          <w:rFonts w:ascii="Times New Roman" w:cs="Times New Roman" w:eastAsia="Times New Roman" w:hAnsi="Times New Roman"/>
          <w:sz w:val="18"/>
          <w:szCs w:val="18"/>
          <w:color w:val="auto"/>
        </w:rPr>
      </w:pPr>
    </w:p>
    <w:p>
      <w:pPr>
        <w:jc w:val="both"/>
        <w:ind w:left="1760" w:right="459" w:firstLine="638"/>
        <w:spacing w:after="0" w:line="261" w:lineRule="auto"/>
        <w:tabs>
          <w:tab w:leader="none" w:pos="303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negotiate, enter into settlements and compromises of, and comply with orders of courts with respect to claims for indemnification made by Buyer pursuant to</w:t>
      </w: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VIII;</w:t>
      </w:r>
    </w:p>
    <w:p>
      <w:pPr>
        <w:spacing w:after="0" w:line="139" w:lineRule="exact"/>
        <w:rPr>
          <w:rFonts w:ascii="Times New Roman" w:cs="Times New Roman" w:eastAsia="Times New Roman" w:hAnsi="Times New Roman"/>
          <w:sz w:val="18"/>
          <w:szCs w:val="18"/>
          <w:color w:val="auto"/>
        </w:rPr>
      </w:pPr>
    </w:p>
    <w:p>
      <w:pPr>
        <w:ind w:left="1760" w:right="479" w:firstLine="638"/>
        <w:spacing w:after="0" w:line="282" w:lineRule="auto"/>
        <w:tabs>
          <w:tab w:leader="none" w:pos="304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litigate, arbitrate, resolve, settle or compromise any claim for indemnification pursuant to ARTICLE VIII;</w:t>
      </w:r>
    </w:p>
    <w:p>
      <w:pPr>
        <w:spacing w:after="0" w:line="80" w:lineRule="exact"/>
        <w:rPr>
          <w:rFonts w:ascii="Times New Roman" w:cs="Times New Roman" w:eastAsia="Times New Roman" w:hAnsi="Times New Roman"/>
          <w:sz w:val="18"/>
          <w:szCs w:val="18"/>
          <w:color w:val="auto"/>
        </w:rPr>
      </w:pPr>
    </w:p>
    <w:p>
      <w:pPr>
        <w:ind w:left="1760" w:right="459" w:firstLine="638"/>
        <w:spacing w:after="0" w:line="282" w:lineRule="auto"/>
        <w:tabs>
          <w:tab w:leader="none" w:pos="303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all documents necessary or desirable to carry out the intent of this Agreement;</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elections or decisions contemplated by this Agreement;</w:t>
      </w:r>
    </w:p>
    <w:p>
      <w:pPr>
        <w:spacing w:after="0" w:line="157" w:lineRule="exact"/>
        <w:rPr>
          <w:rFonts w:ascii="Times New Roman" w:cs="Times New Roman" w:eastAsia="Times New Roman" w:hAnsi="Times New Roman"/>
          <w:sz w:val="18"/>
          <w:szCs w:val="18"/>
          <w:color w:val="auto"/>
        </w:rPr>
      </w:pPr>
    </w:p>
    <w:p>
      <w:pPr>
        <w:jc w:val="both"/>
        <w:ind w:left="1760" w:right="479" w:firstLine="638"/>
        <w:spacing w:after="0" w:line="266" w:lineRule="auto"/>
        <w:tabs>
          <w:tab w:leader="none" w:pos="303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employ or appoint any agents or representatives (including attorneys, accountants and consultants) to assist Seller Representative in complying with its duties and obligations; and</w:t>
      </w:r>
    </w:p>
    <w:p>
      <w:pPr>
        <w:spacing w:after="0" w:line="94" w:lineRule="exact"/>
        <w:rPr>
          <w:rFonts w:ascii="Times New Roman" w:cs="Times New Roman" w:eastAsia="Times New Roman" w:hAnsi="Times New Roman"/>
          <w:sz w:val="18"/>
          <w:szCs w:val="18"/>
          <w:color w:val="auto"/>
        </w:rPr>
      </w:pPr>
    </w:p>
    <w:p>
      <w:pPr>
        <w:ind w:left="1760" w:right="479" w:firstLine="638"/>
        <w:spacing w:after="0" w:line="282" w:lineRule="auto"/>
        <w:tabs>
          <w:tab w:leader="none" w:pos="302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actions necessary or appropriate in the good faith judgment of Seller Representative for the accomplishment of the foregoing.</w:t>
      </w:r>
    </w:p>
    <w:p>
      <w:pPr>
        <w:spacing w:after="0" w:line="94" w:lineRule="exact"/>
        <w:rPr>
          <w:rFonts w:ascii="Times New Roman" w:cs="Times New Roman" w:eastAsia="Times New Roman" w:hAnsi="Times New Roman"/>
          <w:sz w:val="18"/>
          <w:szCs w:val="18"/>
          <w:color w:val="auto"/>
        </w:rPr>
      </w:pPr>
    </w:p>
    <w:p>
      <w:pPr>
        <w:jc w:val="both"/>
        <w:ind w:left="460" w:right="459" w:firstLine="642"/>
        <w:spacing w:after="0" w:line="253" w:lineRule="auto"/>
        <w:tabs>
          <w:tab w:leader="none" w:pos="17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to deal exclusively with Seller Representative on all matters relating to this Agreement (including ARTICLE VIII) and shall be entitled to rely conclusively (without further evidence of any kind whatsoever) on any document executed or purported to be executed on behalf of any Seller by Seller Representative, and on any other action taken or purported to be taken on behalf of any Seller by Seller Representative, as being fully binding upon such Person. Notices or communications to or from Seller Representative shall constitute notice to or from each of the Sellers. Any decision or action by Seller Representative hereunder, including any agreement between Seller Representative and Buyer relating to the defense, payment or settlement of any claims for indemnification hereunder, shall constitute a decision or action of all Sellers and shall be final, binding and conclusive upon each such Person. No Seller shall have the right to object to, dissent from, protest or otherwise contest the same. The provisions of this Section, including the power of attorney granted hereby, are independent and severable, are irrevocable and coupled with an interest and shall not be terminated by any act of any one or more Sellers, or by operation of Law, whether by death or other event.</w:t>
      </w:r>
    </w:p>
    <w:p>
      <w:pPr>
        <w:spacing w:after="0" w:line="119" w:lineRule="exact"/>
        <w:rPr>
          <w:rFonts w:ascii="Times New Roman" w:cs="Times New Roman" w:eastAsia="Times New Roman" w:hAnsi="Times New Roman"/>
          <w:sz w:val="18"/>
          <w:szCs w:val="18"/>
          <w:color w:val="auto"/>
        </w:rPr>
      </w:pPr>
    </w:p>
    <w:p>
      <w:pPr>
        <w:jc w:val="both"/>
        <w:ind w:left="460" w:right="459" w:firstLine="642"/>
        <w:spacing w:after="0" w:line="253" w:lineRule="auto"/>
        <w:tabs>
          <w:tab w:leader="none" w:pos="17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may resign at any time, and may be removed for any reason or no reason by the vote or written consent of a majority in interest of the Sellers according to each Sellers’ Pro Rata Share (the “</w:t>
      </w:r>
      <w:r>
        <w:rPr>
          <w:rFonts w:ascii="Times New Roman" w:cs="Times New Roman" w:eastAsia="Times New Roman" w:hAnsi="Times New Roman"/>
          <w:sz w:val="18"/>
          <w:szCs w:val="18"/>
          <w:b w:val="1"/>
          <w:bCs w:val="1"/>
          <w:color w:val="auto"/>
        </w:rPr>
        <w:t>Majority Sellers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no event shall Seller Representative resign or be removed without the Majority Sellers having first appointed a new Seller Representative who shall assume such duties immediately upon the resignation or removal of Seller Representative. In the event of the death, incapacity, resignation or removal of Seller Representative, a new Seller Representative shall be appointed by the vote or written consent of the Majority Sellers. Notice of such vote or a copy of the written consent appointing such new Seller Representative shall be sent to Buyer, such appointment to be effective upon the later of the date indicated in such consent or the date such notice is received by Buyer;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until such notice is received, Buyer shall be entitled to rely on the decisions and actions of the prior Seller Representative as described in Section 10.01(a) above.</w:t>
      </w:r>
    </w:p>
    <w:p>
      <w:pPr>
        <w:spacing w:after="0" w:line="110" w:lineRule="exact"/>
        <w:rPr>
          <w:rFonts w:ascii="Times New Roman" w:cs="Times New Roman" w:eastAsia="Times New Roman" w:hAnsi="Times New Roman"/>
          <w:sz w:val="18"/>
          <w:szCs w:val="18"/>
          <w:color w:val="auto"/>
        </w:rPr>
      </w:pPr>
    </w:p>
    <w:p>
      <w:pPr>
        <w:jc w:val="both"/>
        <w:ind w:left="460" w:right="479" w:firstLine="642"/>
        <w:spacing w:after="0" w:line="261" w:lineRule="auto"/>
        <w:tabs>
          <w:tab w:leader="none" w:pos="17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not be liable to the Sellers for actions taken pursuant to this Agreement, except to the extent such actions shall have been determined by a court of competent jurisdiction to have constituted gross negligence or involved fraud, intentional misconduct or bad faith (it being understood that any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done or omitted pursuant to the advice of counsel, accountants and other professionals and experts retained by Seller Representative shall be conclusive evidence of good faith). The Sellers shall severally and not jointly (in accordance with their Pro Rata Shares), indemnify and hold harmless Seller Representative from and against, compensate it for, reimburse it for and pay any and all losses, liabilities, claims, actions, damages and expenses, including reasonable attorneys’ fees and disbursements, arising out of and in connection with its activities as Seller Representative under this Agreement (the “</w:t>
      </w:r>
      <w:r>
        <w:rPr>
          <w:rFonts w:ascii="Times New Roman" w:cs="Times New Roman" w:eastAsia="Times New Roman" w:hAnsi="Times New Roman"/>
          <w:sz w:val="18"/>
          <w:szCs w:val="18"/>
          <w:b w:val="1"/>
          <w:bCs w:val="1"/>
          <w:color w:val="auto"/>
        </w:rPr>
        <w:t>Representative Losses</w:t>
      </w:r>
      <w:r>
        <w:rPr>
          <w:rFonts w:ascii="Times New Roman" w:cs="Times New Roman" w:eastAsia="Times New Roman" w:hAnsi="Times New Roman"/>
          <w:sz w:val="18"/>
          <w:szCs w:val="18"/>
          <w:color w:val="auto"/>
        </w:rPr>
        <w:t xml:space="preserve">”), in each case as such Representative Loss is suffered or incurred;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event it is finally adjudicated that a Representative Loss or any portion thereof was primarily caused by the gross negligence, fraud, intentional misconduct or bad faith of Seller Representative, Seller Representative shall reimburse the Sellers the amount of such indemnified Representative Loss attributable to such gross negligence, fraud, intentional misconduct or bad faith. The Representative Losses shall be satisfied from the Sellers, severally and not jointly (in accordance with their Pro Rata Shares).</w:t>
      </w:r>
    </w:p>
    <w:p>
      <w:pPr>
        <w:spacing w:after="0" w:line="118"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10.02 Expenses</w:t>
      </w:r>
      <w:r>
        <w:rPr>
          <w:rFonts w:ascii="Times New Roman" w:cs="Times New Roman" w:eastAsia="Times New Roman" w:hAnsi="Times New Roman"/>
          <w:sz w:val="18"/>
          <w:szCs w:val="18"/>
          <w:color w:val="auto"/>
        </w:rPr>
        <w:t>. Except as otherwise expressly provided herein, all 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fees and 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10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10.03 Notices</w:t>
      </w:r>
      <w:r>
        <w:rPr>
          <w:rFonts w:ascii="Times New Roman" w:cs="Times New Roman" w:eastAsia="Times New Roman" w:hAnsi="Times New Roman"/>
          <w:sz w:val="18"/>
          <w:szCs w:val="18"/>
          <w:color w:val="auto"/>
        </w:rPr>
        <w:t>. All notices, requests, consents, claims, demands, waivers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10.03):</w:t>
      </w:r>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If to Seller Representative or Sellers: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C. Horowitz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rhorowitz@archenia.com</w:t>
      </w:r>
    </w:p>
    <w:p>
      <w:pPr>
        <w:spacing w:after="0" w:line="18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Marchex,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1448 NW Market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500, Seattle, WA 98107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Don Cogsville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dcogsville@marchex.com</w:t>
      </w:r>
    </w:p>
    <w:p>
      <w:pPr>
        <w:spacing w:after="0" w:line="191"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701 Fifth Avenue, Suite 6900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 98104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Ledbetter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Andrew.ledbetter@us.dlapiper.com</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14"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10.04 Interpretation</w:t>
      </w:r>
      <w:r>
        <w:rPr>
          <w:rFonts w:ascii="Times New Roman" w:cs="Times New Roman" w:eastAsia="Times New Roman" w:hAnsi="Times New Roman"/>
          <w:sz w:val="18"/>
          <w:szCs w:val="18"/>
          <w:color w:val="auto"/>
        </w:rPr>
        <w:t>. For purposes of this Agreement, unless otherwise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the words “include,” “includes” and “including” shall be deemed to be followed by the words “without limitation;” (b) the word “or” is not exclusive; (c) the words “herein,” “hereof,” “hereby,” “hereto” and “hereunder” refer to this Agreement as a whole; and (d) references herein: (i) to Articles, Sections, Disclosure Schedules and Exhibits mean the Articles and Sections of, and Disclosure Schedules and Exhibits attached to, this Agreement; (ii) to an agreement, instrument or other document means such agreement, instrument or other document as amended, supplemented and modified from time to time to the extent permitted by the provisions thereof and (iii)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10.05 Headings</w:t>
      </w:r>
      <w:r>
        <w:rPr>
          <w:rFonts w:ascii="Times New Roman" w:cs="Times New Roman" w:eastAsia="Times New Roman" w:hAnsi="Times New Roman"/>
          <w:sz w:val="18"/>
          <w:szCs w:val="18"/>
          <w:color w:val="auto"/>
        </w:rPr>
        <w:t>. The headings in this Agreement are for reference only and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interpretation of this Agreement.</w:t>
      </w:r>
    </w:p>
    <w:p>
      <w:pPr>
        <w:spacing w:after="0" w:line="87"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10.06 Severability</w:t>
      </w:r>
      <w:r>
        <w:rPr>
          <w:rFonts w:ascii="Times New Roman" w:cs="Times New Roman" w:eastAsia="Times New Roman" w:hAnsi="Times New Roman"/>
          <w:sz w:val="18"/>
          <w:szCs w:val="18"/>
          <w:color w:val="auto"/>
        </w:rPr>
        <w:t>. If any term or provision of this Agreement is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15" w:lineRule="exact"/>
        <w:rPr>
          <w:sz w:val="20"/>
          <w:szCs w:val="20"/>
          <w:color w:val="auto"/>
        </w:rPr>
      </w:pPr>
    </w:p>
    <w:p>
      <w:pPr>
        <w:jc w:val="both"/>
        <w:ind w:left="460" w:right="47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10.07 Entire Agreement</w:t>
      </w:r>
      <w:r>
        <w:rPr>
          <w:rFonts w:ascii="Times New Roman" w:cs="Times New Roman" w:eastAsia="Times New Roman" w:hAnsi="Times New Roman"/>
          <w:sz w:val="18"/>
          <w:szCs w:val="18"/>
          <w:color w:val="auto"/>
        </w:rPr>
        <w:t>. This Agreement constitutes the sole and entire agreement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this Agreement with respect to the subject matter contained herein, and supersedes all prior and contemporaneous understandings and agreements, both written and oral, with respect to such subject matter. In the event of any inconsistency between the statements in the body of this Agreement and those in the Exhibits and Disclosure Schedules (other than an exception expressly set forth as such in the Disclosure Schedules), the statements in the body of this Agreement will control.</w:t>
      </w:r>
    </w:p>
    <w:p>
      <w:pPr>
        <w:spacing w:after="0" w:line="10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10.08 Successors and Assigns</w:t>
      </w:r>
      <w:r>
        <w:rPr>
          <w:rFonts w:ascii="Times New Roman" w:cs="Times New Roman" w:eastAsia="Times New Roman" w:hAnsi="Times New Roman"/>
          <w:sz w:val="18"/>
          <w:szCs w:val="18"/>
          <w:color w:val="auto"/>
        </w:rPr>
        <w:t>. This Agreement shall be binding upon and shall inure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benefit of the parties hereto and their respective successors and permitted assigns. Neither party may assign its rights or obligations hereunder without the prior written consent of the other party, which consent shall not be unreasonably withheld, conditioned or delayed;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prior to the Closing Date, Buyer may, without the prior written consent of the Sellers, assign all or any portion of its rights under this Agreement to one or more of its direct or indirect wholly owned subsidiaries. No assignment shall relieve the assigning party of any of its obligations hereunder.</w:t>
      </w:r>
    </w:p>
    <w:p>
      <w:pPr>
        <w:spacing w:after="0" w:line="115"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10.09 No Third-party Beneficiaries</w:t>
      </w:r>
      <w:r>
        <w:rPr>
          <w:rFonts w:ascii="Times New Roman" w:cs="Times New Roman" w:eastAsia="Times New Roman" w:hAnsi="Times New Roman"/>
          <w:sz w:val="18"/>
          <w:szCs w:val="18"/>
          <w:color w:val="auto"/>
        </w:rPr>
        <w:t>. Except as provided in ARTICLE VIII,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10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10.10 Amendment and Modification; Waiver</w:t>
      </w:r>
      <w:r>
        <w:rPr>
          <w:rFonts w:ascii="Times New Roman" w:cs="Times New Roman" w:eastAsia="Times New Roman" w:hAnsi="Times New Roman"/>
          <w:sz w:val="18"/>
          <w:szCs w:val="18"/>
          <w:color w:val="auto"/>
        </w:rPr>
        <w:t>. This Agreement may only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07"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Section 10.11</w:t>
      </w:r>
      <w:r>
        <w:rPr>
          <w:sz w:val="20"/>
          <w:szCs w:val="20"/>
          <w:color w:val="auto"/>
        </w:rPr>
        <w:tab/>
      </w:r>
      <w:r>
        <w:rPr>
          <w:rFonts w:ascii="Times New Roman" w:cs="Times New Roman" w:eastAsia="Times New Roman" w:hAnsi="Times New Roman"/>
          <w:sz w:val="17"/>
          <w:szCs w:val="17"/>
          <w:b w:val="1"/>
          <w:bCs w:val="1"/>
          <w:color w:val="auto"/>
        </w:rPr>
        <w:t>Governing Law; Submission to Jurisdiction; Waiver of Jury Trial</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460" w:right="459" w:firstLine="642"/>
        <w:spacing w:after="0" w:line="266" w:lineRule="auto"/>
        <w:tabs>
          <w:tab w:leader="none" w:pos="171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08" w:lineRule="exact"/>
        <w:rPr>
          <w:rFonts w:ascii="Times New Roman" w:cs="Times New Roman" w:eastAsia="Times New Roman" w:hAnsi="Times New Roman"/>
          <w:sz w:val="18"/>
          <w:szCs w:val="18"/>
          <w:color w:val="auto"/>
        </w:rPr>
      </w:pPr>
    </w:p>
    <w:p>
      <w:pPr>
        <w:jc w:val="both"/>
        <w:ind w:left="460" w:right="459" w:firstLine="642"/>
        <w:spacing w:after="0" w:line="253" w:lineRule="auto"/>
        <w:tabs>
          <w:tab w:leader="none" w:pos="172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SUIT, ACTION OR PROCEEDING ARISING OUT OF OR BASED UPON THIS AGREEMENT OR THE TRANSACTIONS CONTEMPLATED HEREBY MAY BE INSTITUTED IN THE FEDERAL COURTS OF THE UNITED STATES OF AMERICA OR THE COURTS OF THE STATE OF WASHINGTON IN EACH CASE LOCATED IN THE CITY OF SEATTLE AND COUNTY OF KING,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PROCEEDING IN SUCH COURTS AND IRREVOCABLY WAIVE AND AGREE NOT TO PLEAD OR CLAIM IN ANY SUCH COURT THAT ANY SUCH SUIT, ACTION OR PROCEEDING BROUGHT IN ANY SUCH COURT HAS BEEN BROUGHT IN AN INCONVENIENT FORUM.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2"/>
        <w:spacing w:after="0" w:line="253" w:lineRule="auto"/>
        <w:tabs>
          <w:tab w:leader="none" w:pos="171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10.11(C).</w:t>
      </w:r>
    </w:p>
    <w:p>
      <w:pPr>
        <w:spacing w:after="0" w:line="118" w:lineRule="exact"/>
        <w:rPr>
          <w:sz w:val="20"/>
          <w:szCs w:val="20"/>
          <w:color w:val="auto"/>
        </w:rPr>
      </w:pPr>
    </w:p>
    <w:p>
      <w:pPr>
        <w:jc w:val="both"/>
        <w:ind w:left="460" w:right="4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10.12 Specific Performance</w:t>
      </w:r>
      <w:r>
        <w:rPr>
          <w:rFonts w:ascii="Times New Roman" w:cs="Times New Roman" w:eastAsia="Times New Roman" w:hAnsi="Times New Roman"/>
          <w:sz w:val="18"/>
          <w:szCs w:val="18"/>
          <w:color w:val="auto"/>
        </w:rPr>
        <w:t>. The parties agree that irreparable damage would occur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09"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10.13 Counterparts</w:t>
      </w:r>
      <w:r>
        <w:rPr>
          <w:rFonts w:ascii="Times New Roman" w:cs="Times New Roman" w:eastAsia="Times New Roman" w:hAnsi="Times New Roman"/>
          <w:sz w:val="18"/>
          <w:szCs w:val="18"/>
          <w:color w:val="auto"/>
        </w:rPr>
        <w:t>. This Agreement may be executed in counterparts, each of which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date first written above by their duly authorized officers/representatives.</w:t>
      </w:r>
    </w:p>
    <w:p>
      <w:pPr>
        <w:spacing w:after="0" w:line="1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MARCHEX, INC.</w:t>
      </w:r>
    </w:p>
    <w:p>
      <w:pPr>
        <w:spacing w:after="0" w:line="202" w:lineRule="exact"/>
        <w:rPr>
          <w:sz w:val="20"/>
          <w:szCs w:val="20"/>
          <w:color w:val="auto"/>
        </w:rPr>
      </w:pPr>
    </w:p>
    <w:p>
      <w:pPr>
        <w:ind w:left="484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 Cogsville</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Don Cogsville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-119380</wp:posOffset>
            </wp:positionV>
            <wp:extent cx="19888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0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MARRCH INVESTMENTS, LLC</w:t>
      </w:r>
    </w:p>
    <w:p>
      <w:pPr>
        <w:spacing w:after="0" w:line="198" w:lineRule="exact"/>
        <w:rPr>
          <w:sz w:val="20"/>
          <w:szCs w:val="20"/>
          <w:color w:val="auto"/>
        </w:rPr>
      </w:pPr>
    </w:p>
    <w:p>
      <w:pPr>
        <w:ind w:left="484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Russell C. Horowitz</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Russell C. Horowitz,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-119380</wp:posOffset>
            </wp:positionV>
            <wp:extent cx="19888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A. ARENDS</w:t>
      </w:r>
    </w:p>
    <w:p>
      <w:pPr>
        <w:spacing w:after="0" w:line="198" w:lineRule="exact"/>
        <w:rPr>
          <w:sz w:val="20"/>
          <w:szCs w:val="20"/>
          <w:color w:val="auto"/>
        </w:rPr>
      </w:pPr>
    </w:p>
    <w:tbl>
      <w:tblPr>
        <w:tblLayout w:type="fixed"/>
        <w:tblInd w:w="48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Michael A. Arends</w:t>
            </w:r>
          </w:p>
        </w:tc>
        <w:tc>
          <w:tcPr>
            <w:tcW w:w="0" w:type="dxa"/>
            <w:vAlign w:val="bottom"/>
          </w:tcPr>
          <w:p>
            <w:pPr>
              <w:spacing w:after="0"/>
              <w:rPr>
                <w:sz w:val="1"/>
                <w:szCs w:val="1"/>
                <w:color w:val="auto"/>
              </w:rPr>
            </w:pPr>
          </w:p>
        </w:tc>
      </w:tr>
      <w:tr>
        <w:trPr>
          <w:trHeight w:val="5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Michael A. Arends</w:t>
            </w:r>
          </w:p>
        </w:tc>
        <w:tc>
          <w:tcPr>
            <w:tcW w:w="0" w:type="dxa"/>
            <w:vAlign w:val="bottom"/>
          </w:tcPr>
          <w:p>
            <w:pPr>
              <w:spacing w:after="0"/>
              <w:rPr>
                <w:sz w:val="1"/>
                <w:szCs w:val="1"/>
                <w:color w:val="auto"/>
              </w:rPr>
            </w:pPr>
          </w:p>
        </w:tc>
      </w:tr>
      <w:tr>
        <w:trPr>
          <w:trHeight w:val="38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FAIRCHILD</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Travis Fairchild</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Travis Fairchild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-119380</wp:posOffset>
            </wp:positionV>
            <wp:extent cx="1988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SELLER REPRESENTATIVE:</w:t>
      </w:r>
    </w:p>
    <w:p>
      <w:pPr>
        <w:spacing w:after="0" w:line="20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RUSSELL C. HOROWITZ</w:t>
      </w:r>
    </w:p>
    <w:p>
      <w:pPr>
        <w:spacing w:after="0" w:line="198" w:lineRule="exact"/>
        <w:rPr>
          <w:sz w:val="20"/>
          <w:szCs w:val="20"/>
          <w:color w:val="auto"/>
        </w:rPr>
      </w:pPr>
    </w:p>
    <w:p>
      <w:pPr>
        <w:ind w:left="484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Russell C. Horowitz</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Russell C.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-119380</wp:posOffset>
            </wp:positionV>
            <wp:extent cx="19888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OUR FINANCIAL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105410</wp:posOffset>
            </wp:positionV>
            <wp:extent cx="2768600"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276860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May 8, 2026</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STRICTLY CONFIDENTIAL</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Committee of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Marchex, Inc.</w:t>
      </w:r>
    </w:p>
    <w:p>
      <w:pPr>
        <w:ind w:left="460"/>
        <w:spacing w:after="0" w:line="236" w:lineRule="auto"/>
        <w:rPr>
          <w:sz w:val="20"/>
          <w:szCs w:val="20"/>
          <w:color w:val="auto"/>
        </w:rPr>
      </w:pPr>
      <w:r>
        <w:rPr>
          <w:rFonts w:ascii="Times New Roman" w:cs="Times New Roman" w:eastAsia="Times New Roman" w:hAnsi="Times New Roman"/>
          <w:sz w:val="18"/>
          <w:szCs w:val="18"/>
          <w:color w:val="auto"/>
        </w:rPr>
        <w:t>1200 5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Suite 1300</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Special Committee:</w:t>
      </w:r>
    </w:p>
    <w:p>
      <w:pPr>
        <w:spacing w:after="0" w:line="156"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You, in your capacity as the Special Committee (the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of Marchex,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have requested our opinion as to the fairness, from a financial point of view, to the holders of the Company’s Class A Common Stock, par value $0.01 per share (the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and Class B Common Stock, par value $0.01 per share (the “</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and, the holders of the Common Stock, the “</w:t>
      </w:r>
      <w:r>
        <w:rPr>
          <w:rFonts w:ascii="Times New Roman" w:cs="Times New Roman" w:eastAsia="Times New Roman" w:hAnsi="Times New Roman"/>
          <w:sz w:val="18"/>
          <w:szCs w:val="18"/>
          <w:i w:val="1"/>
          <w:iCs w:val="1"/>
          <w:color w:val="auto"/>
        </w:rPr>
        <w:t>Company Stockholders</w:t>
      </w:r>
      <w:r>
        <w:rPr>
          <w:rFonts w:ascii="Times New Roman" w:cs="Times New Roman" w:eastAsia="Times New Roman" w:hAnsi="Times New Roman"/>
          <w:sz w:val="18"/>
          <w:szCs w:val="18"/>
          <w:color w:val="auto"/>
        </w:rPr>
        <w:t>”), of the Consideration (as defined below) that will be paid by the Company to acquire all of the outstanding stock (the “</w:t>
      </w:r>
      <w:r>
        <w:rPr>
          <w:rFonts w:ascii="Times New Roman" w:cs="Times New Roman" w:eastAsia="Times New Roman" w:hAnsi="Times New Roman"/>
          <w:sz w:val="18"/>
          <w:szCs w:val="18"/>
          <w:i w:val="1"/>
          <w:iCs w:val="1"/>
          <w:color w:val="auto"/>
        </w:rPr>
        <w:t>Archenia Shares</w:t>
      </w:r>
      <w:r>
        <w:rPr>
          <w:rFonts w:ascii="Times New Roman" w:cs="Times New Roman" w:eastAsia="Times New Roman" w:hAnsi="Times New Roman"/>
          <w:sz w:val="18"/>
          <w:szCs w:val="18"/>
          <w:color w:val="auto"/>
        </w:rPr>
        <w:t>”) of Archenia, Inc., a Delaware corporation (“</w:t>
      </w:r>
      <w:r>
        <w:rPr>
          <w:rFonts w:ascii="Times New Roman" w:cs="Times New Roman" w:eastAsia="Times New Roman" w:hAnsi="Times New Roman"/>
          <w:sz w:val="18"/>
          <w:szCs w:val="18"/>
          <w:i w:val="1"/>
          <w:iCs w:val="1"/>
          <w:color w:val="auto"/>
        </w:rPr>
        <w:t>Archenia</w:t>
      </w:r>
      <w:r>
        <w:rPr>
          <w:rFonts w:ascii="Times New Roman" w:cs="Times New Roman" w:eastAsia="Times New Roman" w:hAnsi="Times New Roman"/>
          <w:sz w:val="18"/>
          <w:szCs w:val="18"/>
          <w:color w:val="auto"/>
        </w:rPr>
        <w:t>”), pursuant to the terms of the Stock Purchase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and the transaction thereunder, the “</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to be entered into on or about the date hereof by and among the Company and the holders of the Archenia Shares named therein (the “</w:t>
      </w:r>
      <w:r>
        <w:rPr>
          <w:rFonts w:ascii="Times New Roman" w:cs="Times New Roman" w:eastAsia="Times New Roman" w:hAnsi="Times New Roman"/>
          <w:sz w:val="18"/>
          <w:szCs w:val="18"/>
          <w:i w:val="1"/>
          <w:iCs w:val="1"/>
          <w:color w:val="auto"/>
        </w:rPr>
        <w:t>Archenia Stockholders</w:t>
      </w:r>
      <w:r>
        <w:rPr>
          <w:rFonts w:ascii="Times New Roman" w:cs="Times New Roman" w:eastAsia="Times New Roman" w:hAnsi="Times New Roman"/>
          <w:sz w:val="18"/>
          <w:szCs w:val="18"/>
          <w:color w:val="auto"/>
        </w:rPr>
        <w:t>”). The Agreement provides that the Company will acquire the Archenia Shares from the Archenia Stockholders in exchange for promissory notes to be issued by the Company to the Archenia Stockholders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certain shares of Class B Common Stock that may be issued to the Archenia Stockholders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Archenia business meets certain performance targets after the completion of the Transaction (the “</w:t>
      </w:r>
      <w:r>
        <w:rPr>
          <w:rFonts w:ascii="Times New Roman" w:cs="Times New Roman" w:eastAsia="Times New Roman" w:hAnsi="Times New Roman"/>
          <w:sz w:val="18"/>
          <w:szCs w:val="18"/>
          <w:i w:val="1"/>
          <w:iCs w:val="1"/>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For purposes of this opinion and with your consent, we have deemed the value of the consideration payable by the Company under the Agreement to be an amount equal to $16,520,000 in cash (the “</w:t>
      </w:r>
      <w:r>
        <w:rPr>
          <w:rFonts w:ascii="Times New Roman" w:cs="Times New Roman" w:eastAsia="Times New Roman" w:hAnsi="Times New Roman"/>
          <w:sz w:val="17"/>
          <w:szCs w:val="17"/>
          <w:i w:val="1"/>
          <w:iCs w:val="1"/>
          <w:color w:val="auto"/>
        </w:rPr>
        <w:t>Consideration</w:t>
      </w:r>
      <w:r>
        <w:rPr>
          <w:rFonts w:ascii="Times New Roman" w:cs="Times New Roman" w:eastAsia="Times New Roman" w:hAnsi="Times New Roman"/>
          <w:sz w:val="17"/>
          <w:szCs w:val="17"/>
          <w:color w:val="auto"/>
        </w:rPr>
        <w:t xml:space="preserve">”) comprised of (i) the aggregate $10,000,000 principal amount of the Company Notes,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an aggregate value of $6,520,000 of Earnout Shares, which amount is determined based on the maximum number of Earnout Shares that may be issued under the Agreement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a value per share of Common Stock of $1.63, which is the volume-weighted average price of the Class B Common Stock trading on the Nasdaq Select Market during the 30 day period ending on the most recent trading day prior to the date of this letter. With your consent, our opinion does not address (and the term Consideration does not include) any other terms of the Company Notes, including interest to be paid under the Company Notes, the value of any shares of Class B Common Stock that may be issued upon conversion of principal and interest under the Company Notes, or the amounts that may be payable by the Company if any event of default were to occur with respect to the Company Notes.</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as a customary part of our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have been engaged by the Company to render this opinion to the Special Committee, and we will receive a fee from the Company for providing this opinion, which is not contingent upon closing of the Transaction. The Company has also agreed to reimburse certain of our expenses arising, and indemnify us against certain liabilities that may arise, out of our engagement relating to advising the Company on the Transaction.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have not been requested to, and have not, (i) participated in negotiations with respect to the Agreement,</w:t>
      </w:r>
    </w:p>
    <w:p>
      <w:pPr>
        <w:spacing w:after="0" w:line="27" w:lineRule="exact"/>
        <w:rPr>
          <w:sz w:val="20"/>
          <w:szCs w:val="20"/>
          <w:color w:val="auto"/>
        </w:rPr>
      </w:pPr>
    </w:p>
    <w:p>
      <w:pPr>
        <w:ind w:left="740" w:hanging="286"/>
        <w:spacing w:after="0"/>
        <w:tabs>
          <w:tab w:leader="none" w:pos="7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any other potential acquisition targets for the Company or any other alternative transaction or</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the Special Committee, the Board of Directors of the Company, or any other party with respect to alternatives to the Transaction. We were not requested to provide services other than the delivery of this opinion, and we have not otherwise acted as financial advisor to any party to the Transaction. Without limiting the generality of the foregoing, we were not requested to and did not provide advice regarding the structure or any other aspect of the Transaction, including the terms or composition of the Consideration.</w:t>
      </w:r>
    </w:p>
    <w:p>
      <w:pPr>
        <w:spacing w:after="0" w:line="11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affiliates may actively trade securities of the Company for our own account or the account of our customers and, accordingly, we may at any time hold a long or short position in such securities. Although we have not in the past provided investment banking services to the Company or Archenia, we may seek to be engaged for compensation in the future to perform investment banking services for the Company or its affiliates.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connection with our review of the Transaction and in arriving at our opinion, we have made such reviews, analyses and inquiries as we have deemed necessary and appropriate under the circumstances. Among other things, we have:</w:t>
      </w:r>
    </w:p>
    <w:p>
      <w:pPr>
        <w:spacing w:after="0" w:line="95" w:lineRule="exact"/>
        <w:rPr>
          <w:sz w:val="20"/>
          <w:szCs w:val="20"/>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terms of a draft of the Agreement dated May 1, 2026;</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historical financial, operating and business information related to Archenia;</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internal financial projections of Archenia prepared for financial planning purposes by management of the Company and authorized for our use by management of the Company;</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information relative to Archenia;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historical financial, operating, and market data of Archenia publicly available or furnished by management of the Company;</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management of the Company with respect to the business and prospects of Archenia, including the operation of Archenia’s business by the Company following completion of the Transaction;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Archenia with that of certain other publicly traded companies deemed by us to be comparable to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publicly available, reviewed and analyzed financial terms of certain acquisition transactions involving companies operating in businesses and industries deemed similar to that in which Archenia operates and selected companies deemed comparable to Archenia;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8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discounted cash flow analysis of Archenia on a stand-alone basis incorporating various assumptions provided to us, and authorized for our use, by management of the Company.</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addition, we have conducted such other analyses, examinations and inquiries and considered such other financial, economic and market criteria as we have deemed necessary and appropriate in arriving at our opinion.</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conducting our review of the Transaction, financial analyses and in rendering our opinion, 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at your direction we have assumed, that the financial projections for Archenia reviewed by us have been reasonably prepared in good faith on bases reflecting the best currently available estimates and judgments of the management of the Company as to the future financial results and condition of the Archenia business following acquisition by the Company, and we express no opinion with respect to such projections or the assumptions on which they are based. If any of the foregoing assumptions are not accurate, the conclusion set forth in this opinion could be materially affected. Neither the Company nor Archenia publicly disclose internal financial information of the type provided to us in connection with our review of the Transaction. As a result, such information was prepared for financial planning and transaction analysis purposes by management of the Company and Archenia, as applicable, and was not prepared with the expectation of public disclosure.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credit, financial, and stock markets have from time to time experienced unusual volatility and we express no opinion or view as to any potential effects of such volatility on the Transaction or the Consideration to be paid in connection therewith, and this opinion does not purport to address potential developments in any such markets and the impacts those potential developments may have on our analyses between the date of delivery of this opinion and the Closing or any period thereafter. Without limiting the generality of the foregoing, this opinion does not address the value of any shares of Class B Common Stock that may be delivered by the Company to the Archenia Stockholders under the Agreement at the time of such delivery.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relied upon and assumed, without independent verification, that there has been no change in the business, assets, liabilities, financial condition, results of operations, cash flows or prospects of Archenia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have assumed that the Transaction will be consummated pursuant to the terms of the Agreement. In arriving at our opinion, we have not performed any appraisals or valuations of any specific assets or liabilities (fixed, contingent or other) of Archenia, including, without limitation, any intellectual property for which Archenia may or may not currently receive royalty or licensing fees, and we have not been furnished with any such appraisals or valuations, and have made no physical inspection of the property or assets of Archenia. We express no opinion regarding the liquidation value of Archenia or any other entity.</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were not requested to opine, and no opinion is hereby rendered, as to whether any analyses of an entity, other than as a going concern, is appropriate in the circumstances and, accordingly, we have performed no such analyses. We have undertaken no independent analysis of any pending or threatened litigation, governmental proceedings or investigations, possible unasserted claims or other contingent liabilities, to which any of the Company, Archenia, or their respective affiliates is a party or may be subject, and at the Company’s direction and with its consent, our opinion makes no assumption concerning and therefore does not consider, the possible assertion of claims, outcomes, damages or recoveries arising out of any such matters. No company or transaction used in any analysis for purposes of comparison is identical to Archenia or the Transaction. Accordingly, an analysis of the results of the comparisons is not mathematical; rather, it involves complex considerations and judgments about differences in the companies and transactions to which Archenia, the Company, and the Transaction were compared and other factors that could affect the public trading value or transaction value of the companies, as applicable.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opinion is necessarily based upon the financial, market, economic and other conditions that exist on, and the information made available to us as of, the date hereof. It should be understood that subsequent developments may affect this opinion and that we disclaim any undertaking or obligation to advise any person of any change in any fact or matter affecting this opinion, which may come or be brought to our attention after the date of the opinion. We are not expressing any opinion herein as to the price at which shares of Common Stock have traded or such stock may trade following announcement of the Transaction or at any future time. We have not undertaken to reaffirm or revise this opinion or otherwise comment upon any events occurring after the date hereof and do not have any obligation to update, revise or reaffirm this opinion.</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we have adopted policies and procedures to establish and maintain the independence of our research department and personnel. As a result, our research analysts may hold opinions, make statements or recommendations, and/or publish research reports with respect to the Company, Archenia, the Transaction and other participants in the Transaction that differ from the views of our investment banking personnel.</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opinion is furnished pursuant to and subject to the terms of our engagement letter dated December 5, 2025 (the “</w:t>
      </w:r>
      <w:r>
        <w:rPr>
          <w:rFonts w:ascii="Times New Roman" w:cs="Times New Roman" w:eastAsia="Times New Roman" w:hAnsi="Times New Roman"/>
          <w:sz w:val="18"/>
          <w:szCs w:val="18"/>
          <w:i w:val="1"/>
          <w:iCs w:val="1"/>
          <w:color w:val="auto"/>
        </w:rPr>
        <w:t>Engagement Letter</w:t>
      </w:r>
      <w:r>
        <w:rPr>
          <w:rFonts w:ascii="Times New Roman" w:cs="Times New Roman" w:eastAsia="Times New Roman" w:hAnsi="Times New Roman"/>
          <w:sz w:val="18"/>
          <w:szCs w:val="18"/>
          <w:color w:val="auto"/>
        </w:rPr>
        <w:t>”). This opinion is directed to the Special Committee in connection with its consideration of the Transaction. This opinion is not intended to be and does not constitute a recommendation to any stockholder of the Company as to how such stockholder should act or vote with respect to the Transaction or any other matter. Notwithstanding the foregoing, the Board of Directors of the Company is authorized to rely upon this opinion. Except with respect to the use and disclosure of this opinion in connection with the proxy statement relating to the Transaction or other filings required by securities laws in accordance with the Engagement Letter, this opinion shall not be published, disclosed or otherwise used, nor shall any public references to us be made, without our prior written approval; provided that any summary of this opinion must be in form and substance reasonably acceptable to us and our counsel.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opinion addresses solely the fairness, from a financial point of view, to the Company Stockholders of the Consideration to be paid by the Company in the Transaction pursuant to the Agreement, and it does not address any other terms or agreement relating to the Transaction. We were not requested to opine as to, and this opinion does not address, the basic business decision to proceed with or effect the Transaction, or any solvency or fraudulent conveyance consideration relating to the Transaction. We express no opinion as to the relative merits of the Transaction as compared to any alternative business strategies or transactions that might exist for the Company or any other party or the effect of any other transaction in which the Company or any other party might engage. We express no opinion as to the amount, nature or fairness of the Consideration or compensation to be received in, or as a result of, the Transaction by securityholders, officers, directors or employees of the Company. We have not been asked to consider, and this opinion does not address, the solvency or viability of the Company to pay its obligations when they come due. In connection with our opinion, we have assumed and relied upon, without independent verification, the accuracy and completeness of all of the financial, legal, regulatory, tax, accounting and other information provided to, discussed with, or reviewed by us. We are not rendering any legal, accounting, or other advice and understand that the Company is relying on its legal counsel and accounting advisors as to legal and accounting matters in connection with the Transaction.</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preparation of a fairness opinion is a complex, analytical process involving various determinations as to the most appropriate and relevant methods of financial analysis and the application of those methods to the particular circumstances and is not necessarily susceptible to partial analysis or summary description. In arriving at this opinion, we did not attribute any particular weight to any particular analysis or factor considered by us, but rather made qualitative judgments as to the significance and relevance of each analysis and factor. Several analytical methodologies were employed by us in our analyses, and no one method of analysis should be regarded as critical to the overall conclusion reached herein. Each analytical technique has inherent strengths and weaknesses, and the nature of the available information may further affect the value of particular techniques. Accordingly, we believe that our analyses must be considered as a whole and that selecting portions of our analyses and of the factors considered by us, without considering all analyses and factors in their entirety, could create a misleading or incomplete view of the evaluation process underlying this opinion. The conclusion reached by us, therefore, is based on the application of our own experience and judgment to all analyses and factors considered by us, taken as a whole. This opinion was reviewed and approved by the Craig-Hallum Fairness Opinion Committee.</w:t>
      </w:r>
    </w:p>
    <w:p>
      <w:pPr>
        <w:spacing w:after="0" w:line="13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based upon such other factors as we consider relevant, it is our opinion that, as of the date hereof, the Consideration to be paid by the Company in the Transaction pursuant to the Agreement is fair, from a financial point of view, to the Company Stockholders.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Craig-Hallum Capital Group LLC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Craig-Hallum Capital Group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PROXY FOR THE SPECIAL MEETING OF STOCKHOLDERS TO BE HELD ON JULY 1, 2026. THIS PROXY IS SOLICITED ON BEHALF OF THE BOARD OF DIRECTORS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hereby acknowledges receipt of Notice of Special Meeting of Stockholders and Proxy Statement of Marchex, Inc. in connection with the Special Meeting to be held on July 1, 2026, and appoints Francis Feeney, and Brian Nagle, or either of them, proxy with power of substitution, for and in the name of the undersigned, and hereby authorizes each or either of them to represent and to vote, all the shares of Class B common stock of Marchex,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that the undersigned would be entitled to vote at our Special Meeting of Stockholders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xml:space="preserve">”) on July 1, 2026 and at any adjournments thereof, upon the matters set forth in the Notice of Special Meeting, hereby revoking any proxy heretofore given. The proxy holder appointed hereby is further authorized to vote in his discretion upon such other business as may properly come before the Special Meeting. This proxy will be voted as specified. </w:t>
      </w:r>
      <w:r>
        <w:rPr>
          <w:rFonts w:ascii="Times New Roman" w:cs="Times New Roman" w:eastAsia="Times New Roman" w:hAnsi="Times New Roman"/>
          <w:sz w:val="18"/>
          <w:szCs w:val="18"/>
          <w:b w:val="1"/>
          <w:bCs w:val="1"/>
          <w:color w:val="auto"/>
        </w:rPr>
        <w:t>If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direction is made, this proxy will be voted in favor of all proposals.</w:t>
      </w:r>
    </w:p>
    <w:p>
      <w:pPr>
        <w:spacing w:after="0" w:line="190" w:lineRule="exact"/>
        <w:rPr>
          <w:sz w:val="20"/>
          <w:szCs w:val="20"/>
          <w:color w:val="auto"/>
        </w:rPr>
      </w:pPr>
    </w:p>
    <w:p>
      <w:pPr>
        <w:jc w:val="both"/>
        <w:ind w:left="460" w:right="459"/>
        <w:spacing w:after="0" w:line="265" w:lineRule="auto"/>
        <w:rPr>
          <w:sz w:val="20"/>
          <w:szCs w:val="20"/>
          <w:color w:val="auto"/>
        </w:rPr>
      </w:pPr>
      <w:r>
        <w:rPr>
          <w:rFonts w:ascii="Times New Roman" w:cs="Times New Roman" w:eastAsia="Times New Roman" w:hAnsi="Times New Roman"/>
          <w:sz w:val="18"/>
          <w:szCs w:val="18"/>
          <w:b w:val="1"/>
          <w:bCs w:val="1"/>
          <w:color w:val="auto"/>
        </w:rPr>
        <w:t>The Board (in reliance on the recommendation from the Special Committee) recommends that you vote “FOR” the Stock Purchase Proposal (Proposal One); and “FOR” the Adjournment Proposal (Proposal Two) and in the proxy holder’s best judgment as to any other matters raised at the Special Meeting.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mark your votes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in this example using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dark ink only.</w:t>
      </w:r>
    </w:p>
    <w:p>
      <w:pPr>
        <w:spacing w:after="0" w:line="139" w:lineRule="exact"/>
        <w:rPr>
          <w:sz w:val="20"/>
          <w:szCs w:val="20"/>
          <w:color w:val="auto"/>
        </w:rPr>
      </w:pPr>
    </w:p>
    <w:p>
      <w:pPr>
        <w:ind w:left="880" w:right="459" w:hanging="426"/>
        <w:spacing w:after="0" w:line="282" w:lineRule="auto"/>
        <w:tabs>
          <w:tab w:leader="none" w:pos="85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proposal to approve the Transaction, the Stock Purchase Agreement and the Related Agreements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FOR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AGAINST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184" w:lineRule="exact"/>
        <w:rPr>
          <w:sz w:val="20"/>
          <w:szCs w:val="20"/>
          <w:color w:val="auto"/>
        </w:rPr>
      </w:pPr>
    </w:p>
    <w:p>
      <w:pPr>
        <w:sectPr>
          <w:pgSz w:w="11900" w:h="16838" w:orient="portrait"/>
          <w:cols w:equalWidth="0" w:num="3">
            <w:col w:w="3340" w:space="720"/>
            <w:col w:w="2040" w:space="720"/>
            <w:col w:w="2199"/>
          </w:cols>
          <w:pgMar w:left="1440" w:top="270" w:right="1440" w:bottom="1440" w:gutter="0" w:footer="0" w:header="0"/>
          <w:type w:val="continuous"/>
        </w:sectPr>
      </w:pPr>
    </w:p>
    <w:p>
      <w:pPr>
        <w:ind w:left="1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860"/>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3640" w:space="720"/>
            <w:col w:w="2040" w:space="720"/>
            <w:col w:w="1899"/>
          </w:cols>
          <w:pgMar w:left="1440" w:top="270" w:right="1440" w:bottom="1440" w:gutter="0" w:footer="0" w:header="0"/>
          <w:type w:val="continuous"/>
        </w:sectPr>
      </w:pPr>
    </w:p>
    <w:p>
      <w:pPr>
        <w:spacing w:after="0" w:line="79" w:lineRule="exact"/>
        <w:rPr>
          <w:sz w:val="20"/>
          <w:szCs w:val="20"/>
          <w:color w:val="auto"/>
        </w:rPr>
      </w:pPr>
    </w:p>
    <w:p>
      <w:pPr>
        <w:ind w:left="880" w:right="479" w:hanging="426"/>
        <w:spacing w:after="0" w:line="282" w:lineRule="auto"/>
        <w:tabs>
          <w:tab w:leader="none" w:pos="85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proposal to adjourn or postpone the Special Meeting, if necessary or appropriate, for the purpose of soliciting additional votes for the approval of the Stock Purchase Proposal</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FOR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AGAINST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171" w:lineRule="exact"/>
        <w:rPr>
          <w:sz w:val="20"/>
          <w:szCs w:val="20"/>
          <w:color w:val="auto"/>
        </w:rPr>
      </w:pPr>
    </w:p>
    <w:p>
      <w:pPr>
        <w:sectPr>
          <w:pgSz w:w="11900" w:h="16838" w:orient="portrait"/>
          <w:cols w:equalWidth="0" w:num="3">
            <w:col w:w="3340" w:space="720"/>
            <w:col w:w="2040" w:space="720"/>
            <w:col w:w="2199"/>
          </w:cols>
          <w:pgMar w:left="1440" w:top="270" w:right="1440" w:bottom="1440" w:gutter="0" w:footer="0" w:header="0"/>
          <w:type w:val="continuous"/>
        </w:sectPr>
      </w:pPr>
    </w:p>
    <w:p>
      <w:pPr>
        <w:ind w:left="16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860"/>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3640" w:space="720"/>
            <w:col w:w="2040" w:space="720"/>
            <w:col w:w="1899"/>
          </w:cols>
          <w:pgMar w:left="1440" w:top="270" w:right="1440" w:bottom="1440" w:gutter="0" w:footer="0" w:header="0"/>
          <w:type w:val="continuous"/>
        </w:sectPr>
      </w:pPr>
    </w:p>
    <w:p>
      <w:pPr>
        <w:spacing w:after="0" w:line="9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their discretion, the proxy holders are authorized to vote upon such other business as may properly come before the meeting or any adjournment thereof, all as set out in the Notice and Proxy Statement relating to the Special Meeting, receipt of which are hereby acknowledged.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Please sign exactly as your name appears and return this proxy card immediately in the enclosed stamped self-addressed envelope.</w:t>
      </w:r>
    </w:p>
    <w:p>
      <w:pPr>
        <w:spacing w:after="0" w:line="270" w:lineRule="exact"/>
        <w:rPr>
          <w:sz w:val="20"/>
          <w:szCs w:val="20"/>
          <w:color w:val="auto"/>
        </w:rPr>
      </w:pPr>
    </w:p>
    <w:p>
      <w:pPr>
        <w:ind w:left="460"/>
        <w:spacing w:after="0"/>
        <w:tabs>
          <w:tab w:leader="none" w:pos="4880" w:val="left"/>
        </w:tabs>
        <w:rPr>
          <w:sz w:val="20"/>
          <w:szCs w:val="20"/>
          <w:color w:val="auto"/>
        </w:rPr>
      </w:pPr>
      <w:r>
        <w:rPr>
          <w:rFonts w:ascii="Times New Roman" w:cs="Times New Roman" w:eastAsia="Times New Roman" w:hAnsi="Times New Roman"/>
          <w:sz w:val="18"/>
          <w:szCs w:val="18"/>
          <w:color w:val="auto"/>
        </w:rPr>
        <w:t>Signature(s)</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43180</wp:posOffset>
            </wp:positionV>
            <wp:extent cx="18173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43180</wp:posOffset>
            </wp:positionV>
            <wp:extent cx="18173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1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NOTE: Please mark, date and sign exactly as name(s) appear on this proxy and return the proxy card promptly using the enclosed envelope. If the signer is a corporation, please sign full corporate name by duly authorized officer, giving full title as such. Executors, administrators, attorneys, trustees, or guardians should state full title or capacity. Joint owners should each sign.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248285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lowerRoman"/>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Roman"/>
      <w:start w:val="2"/>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3"/>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Roman"/>
      <w:start w:val="7"/>
    </w:lvl>
  </w:abstractNum>
  <w:abstractNum w:abstractNumId="62">
    <w:nsid w:val="BF72B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11447B73"/>
    <w:multiLevelType w:val="hybridMultilevel"/>
    <w:lvl w:ilvl="0">
      <w:lvlJc w:val="left"/>
      <w:lvlText w:val="(%1)"/>
      <w:numFmt w:val="lowerLetter"/>
      <w:start w:val="1"/>
    </w:lvl>
    <w:lvl w:ilvl="1">
      <w:lvlJc w:val="left"/>
      <w:lvlText w:val="(%2)"/>
      <w:numFmt w:val="lowerRoman"/>
      <w:start w:val="1"/>
    </w:lvl>
  </w:abstractNum>
  <w:abstractNum w:abstractNumId="64">
    <w:nsid w:val="42963E5A"/>
    <w:multiLevelType w:val="hybridMultilevel"/>
    <w:lvl w:ilvl="0">
      <w:lvlJc w:val="left"/>
      <w:lvlText w:val="%1"/>
      <w:numFmt w:val="decimal"/>
      <w:start w:val="1"/>
    </w:lvl>
    <w:lvl w:ilvl="1">
      <w:lvlJc w:val="left"/>
      <w:lvlText w:val="(%2)"/>
      <w:numFmt w:val="lowerLetter"/>
      <w:start w:val="1"/>
    </w:lvl>
  </w:abstractNum>
  <w:abstractNum w:abstractNumId="65">
    <w:nsid w:val="A0382C5"/>
    <w:multiLevelType w:val="hybridMultilevel"/>
    <w:lvl w:ilvl="0">
      <w:lvlJc w:val="left"/>
      <w:lvlText w:val="(%1)"/>
      <w:numFmt w:val="decimal"/>
      <w:start w:val="12"/>
    </w:lvl>
    <w:lvl w:ilvl="1">
      <w:lvlJc w:val="left"/>
      <w:lvlText w:val="(%2)"/>
      <w:numFmt w:val="lowerLetter"/>
      <w:start w:val="4"/>
    </w:lvl>
  </w:abstractNum>
  <w:abstractNum w:abstractNumId="66">
    <w:nsid w:val="8F2B15E"/>
    <w:multiLevelType w:val="hybridMultilevel"/>
    <w:lvl w:ilvl="0">
      <w:lvlJc w:val="left"/>
      <w:lvlText w:val="(%1)"/>
      <w:numFmt w:val="lowerLetter"/>
      <w:start w:val="7"/>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2"/>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2"/>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1"/>
    </w:lvl>
  </w:abstractNum>
  <w:abstractNum w:abstractNumId="75">
    <w:nsid w:val="1A27709E"/>
    <w:multiLevelType w:val="hybridMultilevel"/>
    <w:lvl w:ilvl="0">
      <w:lvlJc w:val="left"/>
      <w:lvlText w:val="(%1)"/>
      <w:numFmt w:val="lowerLetter"/>
      <w:start w:val="2"/>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5"/>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lowerLetter"/>
      <w:start w:val="1"/>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1"/>
    </w:lvl>
    <w:lvl w:ilvl="1">
      <w:lvlJc w:val="left"/>
      <w:lvlText w:val="(%2)"/>
      <w:numFmt w:val="lowerRoman"/>
      <w:start w:val="1"/>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3"/>
    </w:lvl>
  </w:abstractNum>
  <w:abstractNum w:abstractNumId="86">
    <w:nsid w:val="14E17E33"/>
    <w:multiLevelType w:val="hybridMultilevel"/>
    <w:lvl w:ilvl="0">
      <w:lvlJc w:val="left"/>
      <w:lvlText w:val="(%1)"/>
      <w:numFmt w:val="lowerRoman"/>
      <w:start w:val="2"/>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jpe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67" Type="http://schemas.openxmlformats.org/officeDocument/2006/relationships/hyperlink" Target="http://www.sec.gov/Archives/edgar/data/1224133/000119312526125205/mchx-20251231.htm" TargetMode="External"/><Relationship Id="rId68" Type="http://schemas.openxmlformats.org/officeDocument/2006/relationships/hyperlink" Target="http://www.sec.gov/Archives/edgar/data/1224133/000119312526161560/mchx-20251231.htm" TargetMode="External"/><Relationship Id="rId69" Type="http://schemas.openxmlformats.org/officeDocument/2006/relationships/hyperlink" Target="http://www.sec.gov/Archives/edgar/data/1224133/000119312526224062/mchx-20260331.htm" TargetMode="External"/><Relationship Id="rId70" Type="http://schemas.openxmlformats.org/officeDocument/2006/relationships/hyperlink" Target="http://www.sec.gov/Archives/edgar/data/1224133/000119312526031831/mchx-20260129.htm" TargetMode="External"/><Relationship Id="rId71" Type="http://schemas.openxmlformats.org/officeDocument/2006/relationships/hyperlink" Target="http://www.sec.gov/Archives/edgar/data/1224133/000119312526057077/mchx-20260217.htm" TargetMode="External"/><Relationship Id="rId72" Type="http://schemas.openxmlformats.org/officeDocument/2006/relationships/hyperlink" Target="http://www.sec.gov/Archives/edgar/data/1224133/000119312526157030/mchx-20260414.htm" TargetMode="External"/><Relationship Id="rId73" Type="http://schemas.openxmlformats.org/officeDocument/2006/relationships/hyperlink" Target="http://www.sec.gov/Archives/edgar/data/1224133/000119312526201467/mchx-20260429.htm" TargetMode="External"/><Relationship Id="rId74" Type="http://schemas.openxmlformats.org/officeDocument/2006/relationships/hyperlink" Target="http://www.sec.gov/Archives/edgar/data/1224133/000119312526219472/mchx-202605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2026-06-05T15:27:00Z</dcterms:created>
  <dcterms:modified xsi:type="dcterms:W3CDTF">2026-06-05T15:27:00Z</dcterms:modified>
</cp:coreProperties>
</file>