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w:t>
      </w:r>
      <w:r>
        <w:rPr>
          <w:rFonts w:ascii="Times New Roman" w:cs="Times New Roman" w:eastAsia="Times New Roman" w:hAnsi="Times New Roman"/>
          <w:sz w:val="21"/>
          <w:szCs w:val="21"/>
          <w:b w:val="1"/>
          <w:bCs w:val="1"/>
          <w:color w:val="auto"/>
        </w:rPr>
        <w:t>Date of earliest event reported): March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183515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Marchex,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760" w:type="dxa"/>
        <w:tblCellMar>
          <w:top w:w="0" w:type="dxa"/>
          <w:left w:w="0" w:type="dxa"/>
          <w:bottom w:w="0" w:type="dxa"/>
          <w:right w:w="0" w:type="dxa"/>
        </w:tblCellMar>
      </w:tblPr>
      <w:tr>
        <w:trPr>
          <w:trHeight w:val="214"/>
        </w:trPr>
        <w:tc>
          <w:tcPr>
            <w:tcW w:w="314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000-50658</w:t>
            </w: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8"/>
                <w:szCs w:val="18"/>
                <w:b w:val="1"/>
                <w:bCs w:val="1"/>
                <w:color w:val="auto"/>
              </w:rPr>
              <w:t>35-2194038</w:t>
            </w:r>
          </w:p>
        </w:tc>
      </w:tr>
      <w:tr>
        <w:trPr>
          <w:trHeight w:val="148"/>
        </w:trPr>
        <w:tc>
          <w:tcPr>
            <w:tcW w:w="3140" w:type="dxa"/>
            <w:vAlign w:val="bottom"/>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7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40" w:type="dxa"/>
            <w:vAlign w:val="bottom"/>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720" w:type="dxa"/>
            <w:vAlign w:val="bottom"/>
          </w:tcPr>
          <w:p>
            <w:pPr>
              <w:spacing w:after="0"/>
              <w:rPr>
                <w:sz w:val="16"/>
                <w:szCs w:val="16"/>
                <w:color w:val="auto"/>
              </w:rPr>
            </w:pP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7"/>
        </w:trPr>
        <w:tc>
          <w:tcPr>
            <w:tcW w:w="314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520 Pike Street Suite 2000,</w:t>
            </w:r>
          </w:p>
        </w:tc>
        <w:tc>
          <w:tcPr>
            <w:tcW w:w="37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2"/>
        </w:trPr>
        <w:tc>
          <w:tcPr>
            <w:tcW w:w="314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Seattle, Washington</w:t>
            </w:r>
          </w:p>
        </w:tc>
        <w:tc>
          <w:tcPr>
            <w:tcW w:w="3720" w:type="dxa"/>
            <w:vAlign w:val="bottom"/>
          </w:tcPr>
          <w:p>
            <w:pPr>
              <w:spacing w:after="0"/>
              <w:rPr>
                <w:sz w:val="19"/>
                <w:szCs w:val="19"/>
                <w:color w:val="auto"/>
              </w:rPr>
            </w:pPr>
          </w:p>
        </w:tc>
        <w:tc>
          <w:tcPr>
            <w:tcW w:w="2300" w:type="dxa"/>
            <w:vAlign w:val="bottom"/>
          </w:tcPr>
          <w:p>
            <w:pPr>
              <w:jc w:val="center"/>
              <w:ind w:left="1122"/>
              <w:spacing w:after="0"/>
              <w:rPr>
                <w:sz w:val="20"/>
                <w:szCs w:val="20"/>
                <w:color w:val="auto"/>
              </w:rPr>
            </w:pPr>
            <w:r>
              <w:rPr>
                <w:rFonts w:ascii="Times New Roman" w:cs="Times New Roman" w:eastAsia="Times New Roman" w:hAnsi="Times New Roman"/>
                <w:sz w:val="18"/>
                <w:szCs w:val="18"/>
                <w:b w:val="1"/>
                <w:bCs w:val="1"/>
                <w:color w:val="auto"/>
              </w:rPr>
              <w:t>98101</w:t>
            </w:r>
          </w:p>
        </w:tc>
      </w:tr>
      <w:tr>
        <w:trPr>
          <w:trHeight w:val="178"/>
        </w:trPr>
        <w:tc>
          <w:tcPr>
            <w:tcW w:w="314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20" w:type="dxa"/>
            <w:vAlign w:val="bottom"/>
          </w:tcPr>
          <w:p>
            <w:pPr>
              <w:spacing w:after="0"/>
              <w:rPr>
                <w:sz w:val="15"/>
                <w:szCs w:val="15"/>
                <w:color w:val="auto"/>
              </w:rPr>
            </w:pPr>
          </w:p>
        </w:tc>
        <w:tc>
          <w:tcPr>
            <w:tcW w:w="2300" w:type="dxa"/>
            <w:vAlign w:val="bottom"/>
          </w:tcPr>
          <w:p>
            <w:pPr>
              <w:jc w:val="center"/>
              <w:ind w:left="1122"/>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331-3300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198755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56"/>
        </w:trPr>
        <w:tc>
          <w:tcPr>
            <w:tcW w:w="4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B Common Stock</w:t>
            </w: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MCHX</w:t>
            </w: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On March 14, 2023, Marchex, Inc. (“Marchex”) reported that it maintained a bank account with SVB with a current balance of approximately $4.6 million dollars and an additional money market account which was managed by SVB Asset Management, a non-bank affiliate of SVB, with the account securities custodied at a non-affiliated third party custodian not related to SVB and with a current value of approximately $5.5 million dollars.</w:t>
      </w:r>
    </w:p>
    <w:p>
      <w:pPr>
        <w:spacing w:after="0" w:line="68" w:lineRule="exact"/>
        <w:rPr>
          <w:sz w:val="20"/>
          <w:szCs w:val="20"/>
          <w:color w:val="auto"/>
        </w:rPr>
      </w:pPr>
    </w:p>
    <w:p>
      <w:pPr>
        <w:ind w:right="760" w:firstLine="510"/>
        <w:spacing w:after="0" w:line="282" w:lineRule="auto"/>
        <w:rPr>
          <w:sz w:val="20"/>
          <w:szCs w:val="20"/>
          <w:color w:val="auto"/>
        </w:rPr>
      </w:pPr>
      <w:r>
        <w:rPr>
          <w:rFonts w:ascii="Times New Roman" w:cs="Times New Roman" w:eastAsia="Times New Roman" w:hAnsi="Times New Roman"/>
          <w:sz w:val="18"/>
          <w:szCs w:val="18"/>
          <w:color w:val="auto"/>
        </w:rPr>
        <w:t>Marchex further reported that it was taking immediate steps to recover all of its account balances from SVB but had not yet received these funds. Marchex can now report that it has received these funds in full.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97" w:lineRule="exact"/>
        <w:rPr>
          <w:sz w:val="20"/>
          <w:szCs w:val="20"/>
          <w:color w:val="auto"/>
        </w:rPr>
      </w:pPr>
    </w:p>
    <w:p>
      <w:pPr>
        <w:ind w:right="20" w:firstLine="457"/>
        <w:spacing w:after="0" w:line="256" w:lineRule="auto"/>
        <w:rPr>
          <w:sz w:val="20"/>
          <w:szCs w:val="20"/>
          <w:color w:val="auto"/>
        </w:rPr>
      </w:pPr>
      <w:r>
        <w:rPr>
          <w:rFonts w:ascii="Times New Roman" w:cs="Times New Roman" w:eastAsia="Times New Roman" w:hAnsi="Times New Roman"/>
          <w:sz w:val="18"/>
          <w:szCs w:val="18"/>
          <w:color w:val="auto"/>
        </w:rPr>
        <w:t>Any statements in this Form 8-K about the Company’s future expectations, plans and prospects constitute forward-looking statements for purposes of the safe harbor provisions under the Private Securities Litigation Reform Act of 1995. Such forward-looking statements involve substantial risks and uncertainties that could cause the Company’s financial and operating results, performance or achievements to differ significantly from those expressed or implied by such forward-looking statements. Any forward-looking statements represent the Company’s views only as of the date of this Form 8-K. While the Company may elect to update these forward-looking statements in the future based on subsequent events, the Company specifically disclaims any obligation to do so except as required by law.</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56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6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 o .</w:t>
            </w:r>
          </w:p>
        </w:tc>
        <w:tc>
          <w:tcPr>
            <w:tcW w:w="1080" w:type="dxa"/>
            <w:vAlign w:val="bottom"/>
          </w:tcPr>
          <w:p>
            <w:pPr>
              <w:spacing w:after="0"/>
              <w:rPr>
                <w:sz w:val="17"/>
                <w:szCs w:val="17"/>
                <w:color w:val="auto"/>
              </w:rPr>
            </w:pPr>
          </w:p>
        </w:tc>
        <w:tc>
          <w:tcPr>
            <w:tcW w:w="9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237"/>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05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22"/>
        </w:trPr>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Marchex has duly caused this Current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7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MARCHEX, INC.</w:t>
            </w:r>
          </w:p>
        </w:tc>
        <w:tc>
          <w:tcPr>
            <w:tcW w:w="394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2023</w:t>
            </w:r>
          </w:p>
        </w:tc>
        <w:tc>
          <w:tcPr>
            <w:tcW w:w="37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 MICHAEL A. ARENDS</w:t>
            </w:r>
          </w:p>
        </w:tc>
      </w:tr>
      <w:tr>
        <w:trPr>
          <w:trHeight w:val="201"/>
        </w:trPr>
        <w:tc>
          <w:tcPr>
            <w:tcW w:w="3600" w:type="dxa"/>
            <w:vAlign w:val="bottom"/>
          </w:tcPr>
          <w:p>
            <w:pPr>
              <w:spacing w:after="0"/>
              <w:rPr>
                <w:sz w:val="17"/>
                <w:szCs w:val="17"/>
                <w:color w:val="auto"/>
              </w:rPr>
            </w:pPr>
          </w:p>
        </w:tc>
        <w:tc>
          <w:tcPr>
            <w:tcW w:w="2600" w:type="dxa"/>
            <w:vAlign w:val="bottom"/>
          </w:tcPr>
          <w:p>
            <w:pPr>
              <w:ind w:left="2020"/>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110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tcPr>
          <w:p>
            <w:pPr>
              <w:jc w:val="center"/>
              <w:ind w:right="10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Michael A. Arends</w:t>
            </w:r>
          </w:p>
        </w:tc>
      </w:tr>
      <w:tr>
        <w:trPr>
          <w:trHeight w:val="216"/>
        </w:trPr>
        <w:tc>
          <w:tcPr>
            <w:tcW w:w="3600" w:type="dxa"/>
            <w:vAlign w:val="bottom"/>
          </w:tcPr>
          <w:p>
            <w:pPr>
              <w:spacing w:after="0"/>
              <w:rPr>
                <w:sz w:val="18"/>
                <w:szCs w:val="18"/>
                <w:color w:val="auto"/>
              </w:rPr>
            </w:pPr>
          </w:p>
        </w:tc>
        <w:tc>
          <w:tcPr>
            <w:tcW w:w="37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Vice Chairman</w:t>
            </w:r>
          </w:p>
        </w:tc>
      </w:tr>
      <w:tr>
        <w:trPr>
          <w:trHeight w:val="238"/>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94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2023-03-14T18:36:32Z</dcterms:created>
  <dcterms:modified xsi:type="dcterms:W3CDTF">2023-03-14T18:36:32Z</dcterms:modified>
</cp:coreProperties>
</file>