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5257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25780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HOROWITZ RUSSELL 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 PIKE STREET</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MARCHEX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MCHX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09/29/2022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9"/>
                <w:szCs w:val="9"/>
                <w:color w:val="auto"/>
              </w:rPr>
            </w:pP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0000FF"/>
        </w:rPr>
        <w:t xml:space="preserve">Executive Chairman </w:t>
      </w:r>
      <w:r>
        <w:rPr>
          <w:rFonts w:ascii="Times New Roman" w:cs="Times New Roman" w:eastAsia="Times New Roman" w:hAnsi="Times New Roman"/>
          <w:sz w:val="20"/>
          <w:szCs w:val="20"/>
          <w:color w:val="000000"/>
        </w:rPr>
        <w:t>/</w:t>
      </w:r>
      <w:r>
        <w:rPr>
          <w:rFonts w:ascii="Times New Roman" w:cs="Times New Roman" w:eastAsia="Times New Roman" w:hAnsi="Times New Roman"/>
          <w:sz w:val="17"/>
          <w:szCs w:val="17"/>
          <w:color w:val="0000FF"/>
        </w:rPr>
        <w:t xml:space="preserve"> Co-CEO</w:t>
      </w:r>
    </w:p>
    <w:p>
      <w:pPr>
        <w:spacing w:after="0" w:line="388"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9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98101</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40"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86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09/29/2022</w:t>
            </w: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15,000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0.01</w:t>
            </w:r>
          </w:p>
        </w:tc>
        <w:tc>
          <w:tcPr>
            <w:tcW w:w="1300" w:type="dxa"/>
            <w:vAlign w:val="bottom"/>
            <w:tcBorders>
              <w:bottom w:val="single" w:sz="8" w:color="2C2C2C"/>
            </w:tcBorders>
            <w:gridSpan w:val="3"/>
          </w:tcPr>
          <w:p>
            <w:pPr>
              <w:jc w:val="right"/>
              <w:ind w:right="281"/>
              <w:spacing w:after="0"/>
              <w:rPr>
                <w:sz w:val="20"/>
                <w:szCs w:val="20"/>
                <w:color w:val="auto"/>
              </w:rPr>
            </w:pPr>
            <w:r>
              <w:rPr>
                <w:rFonts w:ascii="Times New Roman" w:cs="Times New Roman" w:eastAsia="Times New Roman" w:hAnsi="Times New Roman"/>
                <w:sz w:val="17"/>
                <w:szCs w:val="17"/>
                <w:color w:val="0000FF"/>
              </w:rPr>
              <w:t>853,918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B Common Stock</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5,000</w:t>
            </w:r>
          </w:p>
        </w:tc>
        <w:tc>
          <w:tcPr>
            <w:tcW w:w="280" w:type="dxa"/>
            <w:vAlign w:val="bottom"/>
          </w:tcPr>
          <w:p>
            <w:pPr>
              <w:spacing w:after="0"/>
              <w:rPr>
                <w:sz w:val="22"/>
                <w:szCs w:val="22"/>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5"/>
          </w:tcPr>
          <w:p>
            <w:pPr>
              <w:spacing w:after="0"/>
              <w:rPr>
                <w:sz w:val="8"/>
                <w:szCs w:val="8"/>
                <w:color w:val="auto"/>
              </w:rPr>
            </w:pPr>
          </w:p>
        </w:tc>
        <w:tc>
          <w:tcPr>
            <w:tcW w:w="25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Class B</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1.78</w:t>
            </w:r>
          </w:p>
        </w:tc>
        <w:tc>
          <w:tcPr>
            <w:tcW w:w="104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09/29/2022</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20,000</w:t>
            </w:r>
          </w:p>
        </w:tc>
        <w:tc>
          <w:tcPr>
            <w:tcW w:w="3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09/29/2032</w:t>
            </w: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00" w:type="dxa"/>
            <w:vAlign w:val="bottom"/>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center"/>
              <w:ind w:right="134"/>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-2190115</wp:posOffset>
            </wp:positionV>
            <wp:extent cx="29210" cy="2195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51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award effective September 29, 2022 (the "Grant Date") with 50% of such shares vesting on September 29, 2023 and September 29, 2024, respectively, assuming continued service on the Board for such period and with vesting in full of all such restricted shares upon a Change of Control (as defined in such reporting person's restricted stock agreement).</w:t>
      </w:r>
    </w:p>
    <w:p>
      <w:pPr>
        <w:spacing w:after="0" w:line="17" w:lineRule="exact"/>
        <w:rPr>
          <w:rFonts w:ascii="Times New Roman" w:cs="Times New Roman" w:eastAsia="Times New Roman" w:hAnsi="Times New Roman"/>
          <w:sz w:val="13"/>
          <w:szCs w:val="13"/>
          <w:color w:val="008000"/>
        </w:rPr>
      </w:pPr>
    </w:p>
    <w:p>
      <w:pPr>
        <w:ind w:left="40" w:right="4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 effective on the Grant Date with 50% of such options vesting on September 29, 2023 and September 29, 2024, respectively, assuming continued service on the Board for such period and with vesting in full of all such options upon a Change of Control (as defined in such reporting person's option agreement).</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Russell C. Horowitz</w:t>
            </w:r>
          </w:p>
        </w:tc>
        <w:tc>
          <w:tcPr>
            <w:tcW w:w="8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10/03/2022</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54568" TargetMode="External"/><Relationship Id="rId13" Type="http://schemas.openxmlformats.org/officeDocument/2006/relationships/hyperlink" Target="http://www.sec.gov/cgi-bin/browse-edgar?action=getcompany&amp;CIK=000122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2022-10-03T15:29:05Z</dcterms:created>
  <dcterms:modified xsi:type="dcterms:W3CDTF">2022-10-03T15:29:05Z</dcterms:modified>
</cp:coreProperties>
</file>