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4351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51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Miller Edwin A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1200 5TH AVE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MARCHEX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MCHX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SEATTLE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98101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B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106,250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-1742440</wp:posOffset>
            </wp:positionV>
            <wp:extent cx="28575" cy="17475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47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4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award effective March 20, 2025 (the "Grant Date"). Each restricted stock unit represents the right to receive one share of the Corporation's Class B Common Stock upon vesting, which occurs in full on the first anniversary of the Grant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Edwin A Miller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03/21/2025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63474" TargetMode="External"/><Relationship Id="rId14" Type="http://schemas.openxmlformats.org/officeDocument/2006/relationships/hyperlink" Target="http://www.sec.gov/cgi-bin/browse-edgar?action=getcompany&amp;CIK=0001224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2025-03-21T15:57:23Z</dcterms:created>
  <dcterms:modified xsi:type="dcterms:W3CDTF">2025-03-21T15:57:23Z</dcterms:modified>
</cp:coreProperties>
</file>