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COGSVILLE DONALD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MARCHEX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MCHX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11/06/2024</w:t>
            </w:r>
          </w:p>
        </w:tc>
        <w:tc>
          <w:tcPr>
            <w:tcW w:w="2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1200 5TH AVE</w:t>
            </w: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1300</w:t>
            </w: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Class B</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11/06/2024</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11/06/2034</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 effective on the Grant Date with 50% of such options vesting on November 6, 2025 and November 6, 2026, respectively, assuming continued service on the Board for such period and with vesting in full of all such options upon a Change of Control (as defined in such reporting person's option agreement).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Donald Cogsville</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11/07/2024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2911" TargetMode="External"/><Relationship Id="rId14" Type="http://schemas.openxmlformats.org/officeDocument/2006/relationships/hyperlink" Target="http://www.sec.gov/cgi-bin/browse-edgar?action=getcompany&amp;CIK=000122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2024-11-07T15:46:01Z</dcterms:created>
  <dcterms:modified xsi:type="dcterms:W3CDTF">2024-11-07T15:46:01Z</dcterms:modified>
</cp:coreProperties>
</file>