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9, 2026</w:t>
      </w:r>
    </w:p>
    <w:p>
      <w:pPr>
        <w:spacing w:after="0" w:line="31" w:lineRule="exact"/>
        <w:rPr>
          <w:sz w:val="24"/>
          <w:szCs w:val="24"/>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MARCHEX,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80"/>
          </w:cols>
          <w:pgMar w:left="320" w:top="1089"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35-2194038</w:t>
      </w:r>
    </w:p>
    <w:p>
      <w:pPr>
        <w:spacing w:after="0" w:line="24" w:lineRule="exact"/>
        <w:rPr>
          <w:sz w:val="24"/>
          <w:szCs w:val="24"/>
          <w:color w:val="auto"/>
        </w:rPr>
      </w:pPr>
    </w:p>
    <w:p>
      <w:pPr>
        <w:sectPr>
          <w:pgSz w:w="11900" w:h="16838" w:orient="portrait"/>
          <w:cols w:equalWidth="0" w:num="2">
            <w:col w:w="7340" w:space="720"/>
            <w:col w:w="3120"/>
          </w:cols>
          <w:pgMar w:left="320" w:top="1089" w:right="39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00" w:space="720"/>
            <w:col w:w="3260"/>
          </w:cols>
          <w:pgMar w:left="320" w:top="1089" w:right="399" w:bottom="1440" w:gutter="0" w:footer="0" w:header="0"/>
          <w:type w:val="continuous"/>
        </w:sectPr>
      </w:pP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1200 5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8"/>
          <w:szCs w:val="18"/>
          <w:b w:val="1"/>
          <w:bCs w:val="1"/>
          <w:color w:val="auto"/>
        </w:rPr>
        <w:t xml:space="preserve"> Ave, Suite 1300</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2021 Stock Incentive Plan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38" w:orient="portrait"/>
          <w:cols w:equalWidth="0" w:num="1">
            <w:col w:w="11180"/>
          </w:cols>
          <w:pgMar w:left="320" w:top="1089" w:right="399" w:bottom="1440" w:gutter="0" w:footer="0" w:header="0"/>
          <w:type w:val="continuous"/>
        </w:sectPr>
      </w:pP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Francis J. Feeney</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Secretary</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Marchex, Inc.</w:t>
      </w:r>
    </w:p>
    <w:p>
      <w:pPr>
        <w:jc w:val="center"/>
        <w:ind w:right="-59"/>
        <w:spacing w:after="0" w:line="208" w:lineRule="auto"/>
        <w:rPr>
          <w:sz w:val="20"/>
          <w:szCs w:val="20"/>
          <w:color w:val="auto"/>
        </w:rPr>
      </w:pPr>
      <w:r>
        <w:rPr>
          <w:rFonts w:ascii="Times New Roman" w:cs="Times New Roman" w:eastAsia="Times New Roman" w:hAnsi="Times New Roman"/>
          <w:sz w:val="18"/>
          <w:szCs w:val="18"/>
          <w:b w:val="1"/>
          <w:bCs w:val="1"/>
          <w:color w:val="auto"/>
        </w:rPr>
        <w:t>1200 5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 Suite 1300</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(206) 331-3300</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Andrew D. Ledbetter, Esq.</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DLA Piper LLP (US)</w:t>
      </w:r>
    </w:p>
    <w:p>
      <w:pPr>
        <w:jc w:val="center"/>
        <w:ind w:right="-59"/>
        <w:spacing w:after="0" w:line="208" w:lineRule="auto"/>
        <w:rPr>
          <w:sz w:val="20"/>
          <w:szCs w:val="20"/>
          <w:color w:val="auto"/>
        </w:rPr>
      </w:pPr>
      <w:r>
        <w:rPr>
          <w:rFonts w:ascii="Times New Roman" w:cs="Times New Roman" w:eastAsia="Times New Roman" w:hAnsi="Times New Roman"/>
          <w:sz w:val="18"/>
          <w:szCs w:val="18"/>
          <w:b w:val="1"/>
          <w:bCs w:val="1"/>
          <w:color w:val="auto"/>
        </w:rPr>
        <w:t>701 5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 Suite 6900</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(206) 839-4845</w:t>
      </w:r>
    </w:p>
    <w:p>
      <w:pPr>
        <w:spacing w:after="0" w:line="221" w:lineRule="exact"/>
        <w:rPr>
          <w:sz w:val="24"/>
          <w:szCs w:val="24"/>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40" w:type="dxa"/>
            <w:vAlign w:val="bottom"/>
          </w:tcPr>
          <w:p>
            <w:pPr>
              <w:ind w:left="400"/>
              <w:spacing w:after="0"/>
              <w:rPr>
                <w:sz w:val="20"/>
                <w:szCs w:val="20"/>
                <w:color w:val="auto"/>
              </w:rPr>
            </w:pPr>
            <w:r>
              <w:rPr>
                <w:rFonts w:ascii="Wingdings" w:cs="Wingdings" w:eastAsia="Wingdings" w:hAnsi="Wingdings"/>
                <w:sz w:val="16"/>
                <w:szCs w:val="16"/>
                <w:b w:val="1"/>
                <w:bCs w:val="1"/>
                <w:color w:val="auto"/>
              </w:rPr>
              <w:t></w:t>
            </w:r>
          </w:p>
        </w:tc>
        <w:tc>
          <w:tcPr>
            <w:tcW w:w="50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Accelerated filer</w:t>
            </w:r>
          </w:p>
        </w:tc>
        <w:tc>
          <w:tcPr>
            <w:tcW w:w="1540" w:type="dxa"/>
            <w:vAlign w:val="bottom"/>
          </w:tcPr>
          <w:p>
            <w:pPr>
              <w:ind w:left="1340"/>
              <w:spacing w:after="0"/>
              <w:rPr>
                <w:sz w:val="20"/>
                <w:szCs w:val="20"/>
                <w:color w:val="auto"/>
              </w:rPr>
            </w:pPr>
            <w:r>
              <w:rPr>
                <w:rFonts w:ascii="Wingdings" w:cs="Wingdings" w:eastAsia="Wingdings" w:hAnsi="Wingdings"/>
                <w:sz w:val="16"/>
                <w:szCs w:val="16"/>
                <w:b w:val="1"/>
                <w:bCs w:val="1"/>
                <w:color w:val="auto"/>
              </w:rPr>
              <w:t></w:t>
            </w:r>
          </w:p>
        </w:tc>
      </w:tr>
      <w:tr>
        <w:trPr>
          <w:trHeight w:val="407"/>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40" w:type="dxa"/>
            <w:vAlign w:val="bottom"/>
          </w:tcPr>
          <w:p>
            <w:pPr>
              <w:ind w:left="400"/>
              <w:spacing w:after="0"/>
              <w:rPr>
                <w:sz w:val="20"/>
                <w:szCs w:val="20"/>
                <w:color w:val="auto"/>
              </w:rPr>
            </w:pPr>
            <w:r>
              <w:rPr>
                <w:rFonts w:ascii="Wingdings" w:cs="Wingdings" w:eastAsia="Wingdings" w:hAnsi="Wingdings"/>
                <w:sz w:val="18"/>
                <w:szCs w:val="18"/>
                <w:b w:val="1"/>
                <w:bCs w:val="1"/>
                <w:color w:val="auto"/>
              </w:rPr>
              <w:t></w:t>
            </w:r>
          </w:p>
        </w:tc>
        <w:tc>
          <w:tcPr>
            <w:tcW w:w="50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w:t>
            </w:r>
          </w:p>
        </w:tc>
      </w:tr>
      <w:tr>
        <w:trPr>
          <w:trHeight w:val="403"/>
        </w:trPr>
        <w:tc>
          <w:tcPr>
            <w:tcW w:w="1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40" w:type="dxa"/>
            <w:vAlign w:val="bottom"/>
          </w:tcPr>
          <w:p>
            <w:pPr>
              <w:ind w:left="1340"/>
              <w:spacing w:after="0"/>
              <w:rPr>
                <w:sz w:val="20"/>
                <w:szCs w:val="20"/>
                <w:color w:val="auto"/>
              </w:rPr>
            </w:pPr>
            <w:r>
              <w:rPr>
                <w:rFonts w:ascii="Wingdings" w:cs="Wingdings" w:eastAsia="Wingdings" w:hAnsi="Wingdings"/>
                <w:sz w:val="16"/>
                <w:szCs w:val="16"/>
                <w:b w:val="1"/>
                <w:bCs w:val="1"/>
                <w:color w:val="auto"/>
              </w:rPr>
              <w:t></w:t>
            </w:r>
          </w:p>
        </w:tc>
      </w:tr>
    </w:tbl>
    <w:p>
      <w:pPr>
        <w:spacing w:after="0" w:line="195" w:lineRule="exact"/>
        <w:rPr>
          <w:sz w:val="24"/>
          <w:szCs w:val="24"/>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is filed by Marchex, Inc., a Delaware corporation (“Marchex” or the “Company”) to register an additional 1,317,263 shares of the Company’s Class B common stock, par value $0.01 per share, issuable under the Company’s 2021 Stock Incentive Plan (the “Plan”). This Registration Statement consists of only those items required by General Instruction E to Form S-8.</w:t>
      </w:r>
    </w:p>
    <w:p>
      <w:pPr>
        <w:spacing w:after="0" w:line="30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filed as part of this Registration Statement pursuant to the instructions to Part I of Form S-8.</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right="2800" w:firstLine="2794"/>
        <w:spacing w:after="0" w:line="393"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E to Form S-8, the following documents previously filed by the Company with the Securities and Exchange Commission (the “Commission”) are incorporated herein by reference and made a part hereof:</w:t>
      </w:r>
    </w:p>
    <w:p>
      <w:pPr>
        <w:spacing w:after="0" w:line="175" w:lineRule="exact"/>
        <w:rPr>
          <w:sz w:val="20"/>
          <w:szCs w:val="20"/>
          <w:color w:val="auto"/>
        </w:rPr>
      </w:pPr>
    </w:p>
    <w:p>
      <w:pPr>
        <w:ind w:left="860" w:hanging="373"/>
        <w:spacing w:after="0"/>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Registration Statement of Form S-8 (No. 333-286090) as filed on March 25, 2025 relating to the Plan;</w:t>
        </w:r>
      </w:hyperlink>
    </w:p>
    <w:p>
      <w:pPr>
        <w:spacing w:after="0" w:line="252" w:lineRule="exact"/>
        <w:rPr>
          <w:rFonts w:ascii="Times New Roman" w:cs="Times New Roman" w:eastAsia="Times New Roman" w:hAnsi="Times New Roman"/>
          <w:sz w:val="18"/>
          <w:szCs w:val="18"/>
          <w:u w:val="single" w:color="auto"/>
          <w:color w:val="0000FF"/>
        </w:rPr>
      </w:pPr>
    </w:p>
    <w:p>
      <w:pPr>
        <w:ind w:left="860" w:hanging="373"/>
        <w:spacing w:after="0"/>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Registration Statement on Form S-8 (No. 333-278859) as filed on April 22, 2024 relating to the Plan;</w:t>
        </w:r>
      </w:hyperlink>
    </w:p>
    <w:p>
      <w:pPr>
        <w:spacing w:after="0" w:line="252" w:lineRule="exact"/>
        <w:rPr>
          <w:rFonts w:ascii="Times New Roman" w:cs="Times New Roman" w:eastAsia="Times New Roman" w:hAnsi="Times New Roman"/>
          <w:sz w:val="18"/>
          <w:szCs w:val="18"/>
          <w:u w:val="single" w:color="auto"/>
          <w:color w:val="0000FF"/>
        </w:rPr>
      </w:pPr>
    </w:p>
    <w:p>
      <w:pPr>
        <w:ind w:left="860" w:hanging="373"/>
        <w:spacing w:after="0"/>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Registration Statement on Form S-8 (No. 333-271319) as filed on April 18, 2023 relating to the Plan;</w:t>
        </w:r>
      </w:hyperlink>
    </w:p>
    <w:p>
      <w:pPr>
        <w:spacing w:after="0" w:line="238" w:lineRule="exact"/>
        <w:rPr>
          <w:rFonts w:ascii="Times New Roman" w:cs="Times New Roman" w:eastAsia="Times New Roman" w:hAnsi="Times New Roman"/>
          <w:sz w:val="18"/>
          <w:szCs w:val="18"/>
          <w:u w:val="single" w:color="auto"/>
          <w:color w:val="0000FF"/>
        </w:rPr>
      </w:pPr>
    </w:p>
    <w:p>
      <w:pPr>
        <w:ind w:left="860" w:hanging="373"/>
        <w:spacing w:after="0"/>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Registration Statement on Form S-8 (No. 333-264328) as filed on April 15, 2022 relating to the Plan;</w:t>
        </w:r>
      </w:hyperlink>
    </w:p>
    <w:p>
      <w:pPr>
        <w:spacing w:after="0" w:line="252" w:lineRule="exact"/>
        <w:rPr>
          <w:rFonts w:ascii="Times New Roman" w:cs="Times New Roman" w:eastAsia="Times New Roman" w:hAnsi="Times New Roman"/>
          <w:sz w:val="18"/>
          <w:szCs w:val="18"/>
          <w:u w:val="single" w:color="auto"/>
          <w:color w:val="0000FF"/>
        </w:rPr>
      </w:pPr>
    </w:p>
    <w:p>
      <w:pPr>
        <w:ind w:left="860" w:hanging="373"/>
        <w:spacing w:after="0"/>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Registration Statement on Form S-8 (No. 333-261840) as filed on December 21, 2021 relating to the Plan;</w:t>
        </w:r>
      </w:hyperlink>
    </w:p>
    <w:p>
      <w:pPr>
        <w:spacing w:after="0" w:line="238" w:lineRule="exact"/>
        <w:rPr>
          <w:rFonts w:ascii="Times New Roman" w:cs="Times New Roman" w:eastAsia="Times New Roman" w:hAnsi="Times New Roman"/>
          <w:sz w:val="18"/>
          <w:szCs w:val="18"/>
          <w:u w:val="single" w:color="auto"/>
          <w:color w:val="0000FF"/>
        </w:rPr>
      </w:pPr>
    </w:p>
    <w:p>
      <w:pPr>
        <w:ind w:left="860" w:hanging="373"/>
        <w:spacing w:after="0"/>
        <w:tabs>
          <w:tab w:leader="none" w:pos="860" w:val="left"/>
        </w:tabs>
        <w:numPr>
          <w:ilvl w:val="0"/>
          <w:numId w:val="1"/>
        </w:numPr>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u w:val="single" w:color="auto"/>
            <w:color w:val="0000FF"/>
          </w:rPr>
          <w:t>Our Annual Report on Form 10-K for the year ended December 31, 2025 (File No. 000-50658)</w:t>
        </w:r>
      </w:hyperlink>
      <w:r>
        <w:rPr>
          <w:rFonts w:ascii="Times New Roman" w:cs="Times New Roman" w:eastAsia="Times New Roman" w:hAnsi="Times New Roman"/>
          <w:sz w:val="18"/>
          <w:szCs w:val="18"/>
          <w:color w:val="000000"/>
        </w:rPr>
        <w:t>;</w:t>
      </w:r>
    </w:p>
    <w:p>
      <w:pPr>
        <w:spacing w:after="0" w:line="252" w:lineRule="exact"/>
        <w:rPr>
          <w:rFonts w:ascii="Times New Roman" w:cs="Times New Roman" w:eastAsia="Times New Roman" w:hAnsi="Times New Roman"/>
          <w:sz w:val="18"/>
          <w:szCs w:val="18"/>
          <w:color w:val="0000FF"/>
        </w:rPr>
      </w:pPr>
    </w:p>
    <w:p>
      <w:pPr>
        <w:ind w:left="860" w:right="140" w:hanging="373"/>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Company pursuant to Sections 13(a) or 15(d) of the Securities Exchange Act of 1934 (the “Exchange Act”) since the end of the fiscal year covered by the document referred to in (g) above; and</w:t>
      </w:r>
    </w:p>
    <w:p>
      <w:pPr>
        <w:spacing w:after="0" w:line="188" w:lineRule="exact"/>
        <w:rPr>
          <w:rFonts w:ascii="Times New Roman" w:cs="Times New Roman" w:eastAsia="Times New Roman" w:hAnsi="Times New Roman"/>
          <w:sz w:val="18"/>
          <w:szCs w:val="18"/>
          <w:color w:val="auto"/>
        </w:rPr>
      </w:pPr>
    </w:p>
    <w:p>
      <w:pPr>
        <w:ind w:left="860" w:right="100" w:hanging="373"/>
        <w:spacing w:after="0" w:line="266" w:lineRule="auto"/>
        <w:tabs>
          <w:tab w:leader="none" w:pos="860" w:val="left"/>
        </w:tabs>
        <w:numPr>
          <w:ilvl w:val="0"/>
          <w:numId w:val="1"/>
        </w:numPr>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The description of the Company’s Class B common stock contained in our Registration Statement on Form 8-A filed with the Commission</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under Section 12(g) of the Exchange Act on March 30, 2004 (File No. 000-50658), including any amendment or report filed for the purpose of</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updating such description.</w:t>
        </w:r>
      </w:hyperlink>
    </w:p>
    <w:p>
      <w:pPr>
        <w:spacing w:after="0" w:line="189" w:lineRule="exact"/>
        <w:rPr>
          <w:rFonts w:ascii="Times New Roman" w:cs="Times New Roman" w:eastAsia="Times New Roman" w:hAnsi="Times New Roman"/>
          <w:sz w:val="18"/>
          <w:szCs w:val="18"/>
          <w:u w:val="single" w:color="auto"/>
          <w:color w:val="0000FF"/>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filing such documents.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w:t>
      </w:r>
    </w:p>
    <w:p>
      <w:pPr>
        <w:spacing w:after="0" w:line="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Number</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400"/>
        <w:spacing w:after="0"/>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20">
        <w:r>
          <w:rPr>
            <w:rFonts w:ascii="Times New Roman" w:cs="Times New Roman" w:eastAsia="Times New Roman" w:hAnsi="Times New Roman"/>
            <w:sz w:val="17"/>
            <w:szCs w:val="17"/>
            <w:u w:val="single" w:color="auto"/>
            <w:color w:val="0000FF"/>
          </w:rPr>
          <w:t>2021 Stock Incentive Plan.</w:t>
        </w:r>
      </w:hyperlink>
    </w:p>
    <w:p>
      <w:pPr>
        <w:spacing w:after="0" w:line="50" w:lineRule="exact"/>
        <w:rPr>
          <w:sz w:val="20"/>
          <w:szCs w:val="20"/>
          <w:color w:val="auto"/>
        </w:rPr>
      </w:pPr>
    </w:p>
    <w:p>
      <w:pPr>
        <w:ind w:left="480"/>
        <w:spacing w:after="0"/>
        <w:tabs>
          <w:tab w:leader="none" w:pos="8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DLA Piper LLP (US).</w:t>
      </w:r>
    </w:p>
    <w:p>
      <w:pPr>
        <w:spacing w:after="0" w:line="5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DLA Piper LLP (US) (included in Exhibit 5.1).</w:t>
      </w:r>
    </w:p>
    <w:p>
      <w:pPr>
        <w:spacing w:after="0" w:line="5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0000FF"/>
        </w:rPr>
        <w:t>Consent of RSM US LLP.</w:t>
      </w:r>
    </w:p>
    <w:p>
      <w:pPr>
        <w:spacing w:after="0" w:line="5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(included on the signature page to this registration statement).</w:t>
      </w:r>
    </w:p>
    <w:p>
      <w:pPr>
        <w:spacing w:after="0" w:line="50" w:lineRule="exact"/>
        <w:rPr>
          <w:sz w:val="20"/>
          <w:szCs w:val="20"/>
          <w:color w:val="auto"/>
        </w:rPr>
      </w:pPr>
    </w:p>
    <w:p>
      <w:pPr>
        <w:ind w:left="860" w:hanging="418"/>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r>
        <w:rPr>
          <w:rFonts w:ascii="Times New Roman" w:cs="Times New Roman" w:eastAsia="Times New Roman" w:hAnsi="Times New Roman"/>
          <w:sz w:val="18"/>
          <w:szCs w:val="18"/>
          <w:color w:val="000000"/>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Appendix A of Marchex, Inc.’s Definitive Proxy Statement on Form 14A (File No. 000-50658) as filed with the Commission on August 20, 2021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981" w:right="12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April 9, 2026.</w:t>
      </w:r>
    </w:p>
    <w:p>
      <w:pPr>
        <w:spacing w:after="0" w:line="28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MARCHEX, INC.</w:t>
      </w:r>
    </w:p>
    <w:p>
      <w:pPr>
        <w:spacing w:after="0" w:line="225" w:lineRule="exact"/>
        <w:rPr>
          <w:sz w:val="20"/>
          <w:szCs w:val="20"/>
          <w:color w:val="auto"/>
        </w:rPr>
      </w:pPr>
    </w:p>
    <w:p>
      <w:pPr>
        <w:ind w:left="518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NAGLE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b w:val="1"/>
          <w:bCs w:val="1"/>
          <w:color w:val="auto"/>
        </w:rPr>
        <w:t>Brian Nagle</w:t>
      </w:r>
    </w:p>
    <w:p>
      <w:pPr>
        <w:spacing w:after="0" w:line="23"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b w:val="1"/>
          <w:bCs w:val="1"/>
          <w:color w:val="auto"/>
        </w:rPr>
        <w:t>Chief Financial Officer ("CFO")</w:t>
      </w:r>
    </w:p>
    <w:p>
      <w:pPr>
        <w:spacing w:after="0" w:line="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(Principal Financial Officer &amp; Principal Accounting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Marchex, Inc., hereby severally constitute and appoint Brian Nagle as our true and lawful attorney with full power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Marchex, Inc. to comply with the provisions of the Securities Act, as amended, and all requirements of the Securities and Exchange Commission, hereby ratifying and confirming our signatures as they may be signed by our said attorney to said registration statement and any and all amendments thereto.</w:t>
      </w:r>
    </w:p>
    <w:p>
      <w:pPr>
        <w:spacing w:after="0" w:line="21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1"/>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TROY HARTLESS</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214"/>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Troy Hartless</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&amp; Chief Revenue Officer</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(Co-Principal Executive Officer)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10"/>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FRANCIS J. FEENEY</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214"/>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Francis J. Feeney</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Operating Officer, Chief Legal Officer, &amp; Corporate Secretary</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(Co-Principal Executive Officer)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24"/>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NAGLE</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Brian Nagle</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16"/>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CFO</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 &amp; Principal Accounting Officer)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51"/>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RUSSELL C. HOROWITZ</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Russell C. Horowitz</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Chairman</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37"/>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 ARENDS</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Michael A. Arends</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Vice Chairman</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24"/>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DENNIS CLINE</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Dennis Cline</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37"/>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COGSVILLE</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Donald Cogsville</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51"/>
        </w:trPr>
        <w:tc>
          <w:tcPr>
            <w:tcW w:w="7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 WAYNE WISEHART</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2026</w:t>
            </w:r>
          </w:p>
        </w:tc>
      </w:tr>
      <w:tr>
        <w:trPr>
          <w:trHeight w:val="187"/>
        </w:trPr>
        <w:tc>
          <w:tcPr>
            <w:tcW w:w="7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 Wayne Wisehart</w:t>
            </w:r>
          </w:p>
        </w:tc>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7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1020"/>
        </w:trPr>
        <w:tc>
          <w:tcPr>
            <w:tcW w:w="7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9,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Marchex, Inc.</w:t>
      </w:r>
    </w:p>
    <w:p>
      <w:pPr>
        <w:spacing w:after="0" w:line="224" w:lineRule="auto"/>
        <w:rPr>
          <w:sz w:val="20"/>
          <w:szCs w:val="20"/>
          <w:color w:val="auto"/>
        </w:rPr>
      </w:pPr>
      <w:r>
        <w:rPr>
          <w:rFonts w:ascii="Times New Roman" w:cs="Times New Roman" w:eastAsia="Times New Roman" w:hAnsi="Times New Roman"/>
          <w:sz w:val="18"/>
          <w:szCs w:val="18"/>
          <w:color w:val="auto"/>
        </w:rPr>
        <w:t>1200 5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Ave, Suite 1300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 98101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8" w:lineRule="exact"/>
        <w:rPr>
          <w:sz w:val="20"/>
          <w:szCs w:val="20"/>
          <w:color w:val="auto"/>
        </w:rPr>
      </w:pPr>
    </w:p>
    <w:p>
      <w:pPr>
        <w:ind w:right="260" w:firstLine="509"/>
        <w:spacing w:after="0" w:line="236" w:lineRule="exact"/>
        <w:rPr>
          <w:sz w:val="20"/>
          <w:szCs w:val="20"/>
          <w:color w:val="auto"/>
        </w:rPr>
      </w:pPr>
      <w:r>
        <w:rPr>
          <w:rFonts w:ascii="Times New Roman" w:cs="Times New Roman" w:eastAsia="Times New Roman" w:hAnsi="Times New Roman"/>
          <w:sz w:val="18"/>
          <w:szCs w:val="18"/>
          <w:color w:val="auto"/>
        </w:rPr>
        <w:t>We have acted as counsel to Marchex, Inc., a Delaware corporation (the “Company”), in connection with the registration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(the “Registration Statement”) under the Securities Act of 1933, as amended (the “Securities Act”), of up to 1,317,263 shares of Class B Common Stock, par value $0.01 per share (the “Shares”), reserved for issuance under the Marchex, Inc. 2021 Stock Incentive Plan (the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 of Form S-8 and Item 601(b)(5)(i) of Regulation S-K.</w:t>
      </w:r>
    </w:p>
    <w:p>
      <w:pPr>
        <w:spacing w:after="0" w:line="23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examined such instruments, documents and records as we deemed relevant and necessary for the basis of our opinion hereinafter expressed. In such examination, we have assumed the genuineness of all signatures,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of officers of the Company. We express no opinion concerning any law other than the laws of the State of Delaware.</w:t>
      </w:r>
    </w:p>
    <w:p>
      <w:pPr>
        <w:spacing w:after="0" w:line="21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when the Shares are issued and paid for in accordance with the terms of the Plan, they will be validly issued, fully paid and nonassessable.</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Marchex, Inc. of our report dated March 25, 2026, relating to the consolidated financial statements of Marchex, Inc., appearing in the Annual Report on Form 10-K of Marchex,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MARCHEX,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Borders>
              <w:top w:val="single" w:sz="8" w:color="auto"/>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Fee Calculation</w:t>
            </w:r>
          </w:p>
        </w:tc>
        <w:tc>
          <w:tcPr>
            <w:tcW w:w="900" w:type="dxa"/>
            <w:vAlign w:val="bottom"/>
          </w:tcPr>
          <w:p>
            <w:pPr>
              <w:jc w:val="center"/>
              <w:ind w:left="284"/>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right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2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3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9"/>
        </w:trPr>
        <w:tc>
          <w:tcPr>
            <w:tcW w:w="1260" w:type="dxa"/>
            <w:vAlign w:val="bottom"/>
            <w:tcBorders>
              <w:bottom w:val="single" w:sz="8" w:color="auto"/>
              <w:right w:val="single" w:sz="8" w:color="auto"/>
            </w:tcBorders>
            <w:vMerge w:val="continue"/>
          </w:tcPr>
          <w:p>
            <w:pPr>
              <w:spacing w:after="0"/>
              <w:rPr>
                <w:sz w:val="14"/>
                <w:szCs w:val="14"/>
                <w:color w:val="auto"/>
              </w:rPr>
            </w:pPr>
          </w:p>
        </w:tc>
        <w:tc>
          <w:tcPr>
            <w:tcW w:w="2460" w:type="dxa"/>
            <w:vAlign w:val="bottom"/>
            <w:tcBorders>
              <w:bottom w:val="single" w:sz="8" w:color="auto"/>
              <w:right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3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91"/>
        </w:trPr>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2021 Stock Incentive Plan, Class</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457(h)</w:t>
            </w:r>
          </w:p>
        </w:tc>
        <w:tc>
          <w:tcPr>
            <w:tcW w:w="1280" w:type="dxa"/>
            <w:vAlign w:val="bottom"/>
            <w:tcBorders>
              <w:right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7"/>
                <w:szCs w:val="17"/>
                <w:color w:val="auto"/>
              </w:rPr>
              <w:t xml:space="preserve">1,317,263 </w:t>
            </w:r>
            <w:r>
              <w:rPr>
                <w:rFonts w:ascii="Times New Roman" w:cs="Times New Roman" w:eastAsia="Times New Roman" w:hAnsi="Times New Roman"/>
                <w:sz w:val="22"/>
                <w:szCs w:val="22"/>
                <w:color w:val="auto"/>
                <w:vertAlign w:val="superscript"/>
              </w:rPr>
              <w:t>(2)</w:t>
            </w:r>
          </w:p>
        </w:tc>
        <w:tc>
          <w:tcPr>
            <w:tcW w:w="1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 xml:space="preserve">$1.58 </w:t>
            </w:r>
            <w:r>
              <w:rPr>
                <w:rFonts w:ascii="Times New Roman" w:cs="Times New Roman" w:eastAsia="Times New Roman" w:hAnsi="Times New Roman"/>
                <w:sz w:val="22"/>
                <w:szCs w:val="22"/>
                <w:color w:val="auto"/>
                <w:vertAlign w:val="superscript"/>
              </w:rPr>
              <w:t>(3)</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$2,081,276</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$138.10 per</w:t>
            </w:r>
          </w:p>
        </w:tc>
        <w:tc>
          <w:tcPr>
            <w:tcW w:w="1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$287.42</w:t>
            </w:r>
          </w:p>
        </w:tc>
        <w:tc>
          <w:tcPr>
            <w:tcW w:w="0" w:type="dxa"/>
            <w:vAlign w:val="bottom"/>
          </w:tcPr>
          <w:p>
            <w:pPr>
              <w:spacing w:after="0"/>
              <w:rPr>
                <w:sz w:val="1"/>
                <w:szCs w:val="1"/>
                <w:color w:val="auto"/>
              </w:rPr>
            </w:pPr>
          </w:p>
        </w:tc>
      </w:tr>
      <w:tr>
        <w:trPr>
          <w:trHeight w:val="216"/>
        </w:trPr>
        <w:tc>
          <w:tcPr>
            <w:tcW w:w="12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 Common Stock, $0.01 par</w:t>
            </w:r>
          </w:p>
        </w:tc>
        <w:tc>
          <w:tcPr>
            <w:tcW w:w="10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w:t>
            </w:r>
          </w:p>
        </w:tc>
        <w:tc>
          <w:tcPr>
            <w:tcW w:w="10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$2,081,276</w:t>
            </w:r>
          </w:p>
        </w:tc>
        <w:tc>
          <w:tcPr>
            <w:tcW w:w="13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$287.42</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30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registration statement shall also cover any additional shares of Class B common stock, which become issuable under the plan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Class B common stock.</w:t>
      </w:r>
    </w:p>
    <w:p>
      <w:pPr>
        <w:spacing w:after="0" w:line="16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increase in the number of shares authorized for issuance under the 2021 Stock Incentive Plan.</w:t>
      </w:r>
    </w:p>
    <w:p>
      <w:pPr>
        <w:spacing w:after="0" w:line="234" w:lineRule="exact"/>
        <w:rPr>
          <w:rFonts w:ascii="Times New Roman" w:cs="Times New Roman" w:eastAsia="Times New Roman" w:hAnsi="Times New Roman"/>
          <w:sz w:val="16"/>
          <w:szCs w:val="16"/>
          <w:color w:val="auto"/>
        </w:rPr>
      </w:pPr>
    </w:p>
    <w:p>
      <w:pPr>
        <w:ind w:left="380" w:right="10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 457(h) under the Securities Act of 1933, as amended, solely for the purpose of calculating the registration fee. The computation with respect to unissued options is based upon the average high and low sale prices of the Class B common stock as reported on the NASDAQ Stock Market on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1137285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lvl w:ilvl="1">
      <w:lvlJc w:val="left"/>
      <w:lvlText w:val="%2"/>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11" Type="http://schemas.openxmlformats.org/officeDocument/2006/relationships/hyperlink" Target="https://www.sec.gov/Archives/edgar/data/1224133/000095017025044395/mchx-20250325.htm" TargetMode="External"/><Relationship Id="rId12" Type="http://schemas.openxmlformats.org/officeDocument/2006/relationships/hyperlink" Target="https://www.sec.gov/Archives/edgar/data/1224133/000095017024046406/mchx_2024_s-8.htm" TargetMode="External"/><Relationship Id="rId13" Type="http://schemas.openxmlformats.org/officeDocument/2006/relationships/hyperlink" Target="https://www.sec.gov/Archives/edgar/data/1224133/000156459023005894/mchx-s8.htm" TargetMode="External"/><Relationship Id="rId14" Type="http://schemas.openxmlformats.org/officeDocument/2006/relationships/hyperlink" Target="https://www.sec.gov/Archives/edgar/data/1224133/000156459022014559/mchx-s8.htm" TargetMode="External"/><Relationship Id="rId15" Type="http://schemas.openxmlformats.org/officeDocument/2006/relationships/hyperlink" Target="https://www.sec.gov/Archives/edgar/data/0001224133/000156459021060970/mchx-s8.htm" TargetMode="External"/><Relationship Id="rId16" Type="http://schemas.openxmlformats.org/officeDocument/2006/relationships/hyperlink" Target="https://www.sec.gov/ix?doc=/Archives/edgar/data/1224133/000119312526125205/mchx-20251231.htm" TargetMode="External"/><Relationship Id="rId17" Type="http://schemas.openxmlformats.org/officeDocument/2006/relationships/hyperlink" Target="https://www.sec.gov/Archives/edgar/data/1224133/000119312504052910/d8a12g.htm" TargetMode="External"/><Relationship Id="rId20" Type="http://schemas.openxmlformats.org/officeDocument/2006/relationships/hyperlink" Target="https://www.sec.gov/Archives/edgar/data/1224133/000156459021045281/mchx-def14a_20211001.htm#Appendix_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2026-04-09T15:21:31Z</dcterms:created>
  <dcterms:modified xsi:type="dcterms:W3CDTF">2026-04-09T15:21:31Z</dcterms:modified>
</cp:coreProperties>
</file>