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April 15, 2022</w:t>
      </w:r>
    </w:p>
    <w:p>
      <w:pPr>
        <w:spacing w:after="0" w:line="33" w:lineRule="exact"/>
        <w:rPr>
          <w:sz w:val="24"/>
          <w:szCs w:val="24"/>
          <w:color w:val="auto"/>
        </w:rPr>
      </w:pPr>
    </w:p>
    <w:p>
      <w:pPr>
        <w:ind w:left="950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1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59"/>
        <w:spacing w:after="0" w:line="232"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1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2"/>
          <w:szCs w:val="42"/>
          <w:b w:val="1"/>
          <w:bCs w:val="1"/>
          <w:color w:val="auto"/>
        </w:rPr>
        <w:t>MARCHEX,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080"/>
          </w:cols>
          <w:pgMar w:left="320" w:top="457" w:right="4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35-2194038</w:t>
      </w:r>
    </w:p>
    <w:p>
      <w:pPr>
        <w:spacing w:after="0" w:line="21" w:lineRule="exact"/>
        <w:rPr>
          <w:sz w:val="24"/>
          <w:szCs w:val="24"/>
          <w:color w:val="auto"/>
        </w:rPr>
      </w:pPr>
    </w:p>
    <w:p>
      <w:pPr>
        <w:sectPr>
          <w:pgSz w:w="11900" w:h="16838" w:orient="portrait"/>
          <w:cols w:equalWidth="0" w:num="2">
            <w:col w:w="7360" w:space="720"/>
            <w:col w:w="3000"/>
          </w:cols>
          <w:pgMar w:left="320" w:top="457" w:right="49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40" w:space="720"/>
            <w:col w:w="3120"/>
          </w:cols>
          <w:pgMar w:left="320" w:top="457" w:right="499" w:bottom="1440" w:gutter="0" w:footer="0" w:header="0"/>
          <w:type w:val="continuous"/>
        </w:sectPr>
      </w:pPr>
    </w:p>
    <w:p>
      <w:pPr>
        <w:spacing w:after="0" w:line="6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520 Pike Street, Suite 2000</w:t>
      </w:r>
    </w:p>
    <w:p>
      <w:pPr>
        <w:spacing w:after="0" w:line="3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Seattle, WA 98101</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p>
      <w:pPr>
        <w:spacing w:after="0" w:line="2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2021 Stock Incentive Plan</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ectPr>
          <w:pgSz w:w="11900" w:h="16838" w:orient="portrait"/>
          <w:cols w:equalWidth="0" w:num="1">
            <w:col w:w="11080"/>
          </w:cols>
          <w:pgMar w:left="320" w:top="457" w:right="499" w:bottom="1440" w:gutter="0" w:footer="0" w:header="0"/>
          <w:type w:val="continuous"/>
        </w:sectPr>
      </w:pP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Francis J. Feeney</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Secretary</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Marchex, Inc.</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520 Pike Street, Suite 2000</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Seattle, WA 98101</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(206) 331-3300</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1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Andrew D. Ledbetter, Esq.</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DLA Piper LLP (US)</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701 Fifth Avenue, Suite 6900</w:t>
      </w:r>
    </w:p>
    <w:p>
      <w:pPr>
        <w:spacing w:after="0" w:line="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Seattle, WA 98104</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(206) 839-4845</w:t>
      </w:r>
    </w:p>
    <w:p>
      <w:pPr>
        <w:spacing w:after="0" w:line="218" w:lineRule="exact"/>
        <w:rPr>
          <w:sz w:val="24"/>
          <w:szCs w:val="24"/>
          <w:color w:val="auto"/>
        </w:rPr>
      </w:pPr>
    </w:p>
    <w:p>
      <w:pPr>
        <w:jc w:val="both"/>
        <w:ind w:firstLine="510"/>
        <w:spacing w:after="0" w:line="3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Accelerated filer</w:t>
            </w:r>
          </w:p>
        </w:tc>
        <w:tc>
          <w:tcPr>
            <w:tcW w:w="154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6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40" w:type="dxa"/>
            <w:vAlign w:val="bottom"/>
          </w:tcPr>
          <w:p>
            <w:pPr>
              <w:ind w:left="14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84"/>
        </w:trPr>
        <w:tc>
          <w:tcPr>
            <w:tcW w:w="1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6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40" w:type="dxa"/>
            <w:vAlign w:val="bottom"/>
          </w:tcPr>
          <w:p>
            <w:pPr>
              <w:ind w:left="1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320" w:firstLine="51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202565</wp:posOffset>
            </wp:positionV>
            <wp:extent cx="717931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080"/>
          </w:cols>
          <w:pgMar w:left="320" w:top="457" w:right="49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3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This Registration Statement on Form S-8 is filed by Marchex, Inc., a Delaware corporation (“Marchex” or the “Company”) to register an additional 1,261,566 shares of the Company’s Class B common stock, par value $0.01 per share, issuable under the Company’s 2021 Stock Incentive Plan (the “Plan”). This Registration Statement consists of only those items required by General Instruction E to Form S-8.</w:t>
      </w: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3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filed as part of this Registration Statement pursuant to the instructions to Part I of Form S-8.</w:t>
      </w: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33" w:lineRule="exact"/>
        <w:rPr>
          <w:sz w:val="20"/>
          <w:szCs w:val="20"/>
          <w:color w:val="auto"/>
        </w:rPr>
      </w:pPr>
    </w:p>
    <w:p>
      <w:pPr>
        <w:ind w:right="2820" w:firstLine="2930"/>
        <w:spacing w:after="0" w:line="384" w:lineRule="auto"/>
        <w:rPr>
          <w:sz w:val="20"/>
          <w:szCs w:val="20"/>
          <w:color w:val="auto"/>
        </w:rPr>
      </w:pPr>
      <w:r>
        <w:rPr>
          <w:rFonts w:ascii="Times New Roman" w:cs="Times New Roman" w:eastAsia="Times New Roman" w:hAnsi="Times New Roman"/>
          <w:sz w:val="17"/>
          <w:szCs w:val="17"/>
          <w:b w:val="1"/>
          <w:bCs w:val="1"/>
          <w:color w:val="auto"/>
        </w:rPr>
        <w:t>INFORMATION REQUIRED IN THE REGISTRATION STATEMENT Item 3. Incorporation of Documents by Reference.</w:t>
      </w:r>
    </w:p>
    <w:p>
      <w:pPr>
        <w:spacing w:after="0" w:line="293" w:lineRule="auto"/>
        <w:rPr>
          <w:sz w:val="20"/>
          <w:szCs w:val="20"/>
          <w:color w:val="auto"/>
        </w:rPr>
      </w:pPr>
      <w:r>
        <w:rPr>
          <w:rFonts w:ascii="Times New Roman" w:cs="Times New Roman" w:eastAsia="Times New Roman" w:hAnsi="Times New Roman"/>
          <w:sz w:val="17"/>
          <w:szCs w:val="17"/>
          <w:color w:val="auto"/>
        </w:rPr>
        <w:t>In accordance with General Instruction E to Form S-8, the following documents previously filed by the Company with the Securities and Exchange Commission (the “Commission”) are incorporated herein by reference and made a part hereof:</w:t>
      </w:r>
    </w:p>
    <w:p>
      <w:pPr>
        <w:spacing w:after="0" w:line="159" w:lineRule="exact"/>
        <w:rPr>
          <w:sz w:val="20"/>
          <w:szCs w:val="20"/>
          <w:color w:val="auto"/>
        </w:rPr>
      </w:pPr>
    </w:p>
    <w:p>
      <w:pPr>
        <w:ind w:left="840" w:hanging="355"/>
        <w:spacing w:after="0"/>
        <w:tabs>
          <w:tab w:leader="none" w:pos="840" w:val="left"/>
        </w:tabs>
        <w:numPr>
          <w:ilvl w:val="0"/>
          <w:numId w:val="1"/>
        </w:numPr>
        <w:rPr>
          <w:rFonts w:ascii="Times New Roman" w:cs="Times New Roman" w:eastAsia="Times New Roman" w:hAnsi="Times New Roman"/>
          <w:sz w:val="17"/>
          <w:szCs w:val="17"/>
          <w:u w:val="single" w:color="auto"/>
          <w:color w:val="0563C1"/>
        </w:rPr>
      </w:pPr>
      <w:hyperlink r:id="rId11">
        <w:r>
          <w:rPr>
            <w:rFonts w:ascii="Times New Roman" w:cs="Times New Roman" w:eastAsia="Times New Roman" w:hAnsi="Times New Roman"/>
            <w:sz w:val="17"/>
            <w:szCs w:val="17"/>
            <w:u w:val="single" w:color="auto"/>
            <w:color w:val="0563C1"/>
          </w:rPr>
          <w:t>Registration Statement on Form S-8 (No. 333-261840) as filed on December 21, 2021 relating to the Plan;</w:t>
        </w:r>
      </w:hyperlink>
    </w:p>
    <w:p>
      <w:pPr>
        <w:spacing w:after="0" w:line="233" w:lineRule="exact"/>
        <w:rPr>
          <w:rFonts w:ascii="Times New Roman" w:cs="Times New Roman" w:eastAsia="Times New Roman" w:hAnsi="Times New Roman"/>
          <w:sz w:val="17"/>
          <w:szCs w:val="17"/>
          <w:u w:val="single" w:color="auto"/>
          <w:color w:val="0563C1"/>
        </w:rPr>
      </w:pPr>
    </w:p>
    <w:p>
      <w:pPr>
        <w:ind w:left="840" w:hanging="355"/>
        <w:spacing w:after="0"/>
        <w:tabs>
          <w:tab w:leader="none" w:pos="840" w:val="left"/>
        </w:tabs>
        <w:numPr>
          <w:ilvl w:val="0"/>
          <w:numId w:val="1"/>
        </w:numPr>
        <w:rPr>
          <w:rFonts w:ascii="Times New Roman" w:cs="Times New Roman" w:eastAsia="Times New Roman" w:hAnsi="Times New Roman"/>
          <w:sz w:val="17"/>
          <w:szCs w:val="17"/>
          <w:u w:val="single" w:color="auto"/>
          <w:color w:val="0563C1"/>
        </w:rPr>
      </w:pPr>
      <w:hyperlink r:id="rId12">
        <w:r>
          <w:rPr>
            <w:rFonts w:ascii="Times New Roman" w:cs="Times New Roman" w:eastAsia="Times New Roman" w:hAnsi="Times New Roman"/>
            <w:sz w:val="17"/>
            <w:szCs w:val="17"/>
            <w:u w:val="single" w:color="auto"/>
            <w:color w:val="0563C1"/>
          </w:rPr>
          <w:t>Our Annual Report on Form 10-K for the year ended December 31, 2021 (File No. 000-50658);</w:t>
        </w:r>
      </w:hyperlink>
    </w:p>
    <w:p>
      <w:pPr>
        <w:spacing w:after="0" w:line="233" w:lineRule="exact"/>
        <w:rPr>
          <w:rFonts w:ascii="Times New Roman" w:cs="Times New Roman" w:eastAsia="Times New Roman" w:hAnsi="Times New Roman"/>
          <w:sz w:val="17"/>
          <w:szCs w:val="17"/>
          <w:u w:val="single" w:color="auto"/>
          <w:color w:val="0563C1"/>
        </w:rPr>
      </w:pPr>
    </w:p>
    <w:p>
      <w:pPr>
        <w:ind w:left="840" w:right="180" w:hanging="355"/>
        <w:spacing w:after="0" w:line="293" w:lineRule="auto"/>
        <w:tabs>
          <w:tab w:leader="none" w:pos="8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reports filed by the Company pursuant to Sections 13(a) or 15(d) of the Securities Exchange Act of 1934 (the “Exchange Act”) since the end of the fiscal year covered by the document referred to in (g) above; and</w:t>
      </w:r>
    </w:p>
    <w:p>
      <w:pPr>
        <w:spacing w:after="0" w:line="159" w:lineRule="exact"/>
        <w:rPr>
          <w:rFonts w:ascii="Times New Roman" w:cs="Times New Roman" w:eastAsia="Times New Roman" w:hAnsi="Times New Roman"/>
          <w:sz w:val="17"/>
          <w:szCs w:val="17"/>
          <w:color w:val="auto"/>
        </w:rPr>
      </w:pPr>
    </w:p>
    <w:p>
      <w:pPr>
        <w:jc w:val="both"/>
        <w:ind w:left="840" w:right="200" w:hanging="355"/>
        <w:spacing w:after="0" w:line="274" w:lineRule="auto"/>
        <w:tabs>
          <w:tab w:leader="none" w:pos="840" w:val="left"/>
        </w:tabs>
        <w:numPr>
          <w:ilvl w:val="0"/>
          <w:numId w:val="1"/>
        </w:numPr>
        <w:rPr>
          <w:rFonts w:ascii="Times New Roman" w:cs="Times New Roman" w:eastAsia="Times New Roman" w:hAnsi="Times New Roman"/>
          <w:sz w:val="17"/>
          <w:szCs w:val="17"/>
          <w:u w:val="single" w:color="auto"/>
          <w:color w:val="0563C1"/>
        </w:rPr>
      </w:pPr>
      <w:hyperlink r:id="rId13">
        <w:r>
          <w:rPr>
            <w:rFonts w:ascii="Times New Roman" w:cs="Times New Roman" w:eastAsia="Times New Roman" w:hAnsi="Times New Roman"/>
            <w:sz w:val="17"/>
            <w:szCs w:val="17"/>
            <w:u w:val="single" w:color="auto"/>
            <w:color w:val="0563C1"/>
          </w:rPr>
          <w:t>The description of the Company’s Class B common stock contained in our Registration Statement on Form 8-A filed with the Commission under</w:t>
        </w:r>
      </w:hyperlink>
      <w:r>
        <w:rPr>
          <w:rFonts w:ascii="Times New Roman" w:cs="Times New Roman" w:eastAsia="Times New Roman" w:hAnsi="Times New Roman"/>
          <w:sz w:val="17"/>
          <w:szCs w:val="17"/>
          <w:u w:val="single" w:color="auto"/>
          <w:color w:val="0563C1"/>
        </w:rPr>
        <w:t xml:space="preserve"> </w:t>
      </w:r>
      <w:hyperlink r:id="rId13">
        <w:r>
          <w:rPr>
            <w:rFonts w:ascii="Times New Roman" w:cs="Times New Roman" w:eastAsia="Times New Roman" w:hAnsi="Times New Roman"/>
            <w:sz w:val="17"/>
            <w:szCs w:val="17"/>
            <w:u w:val="single" w:color="auto"/>
            <w:color w:val="0563C1"/>
          </w:rPr>
          <w:t>Section 12(g) of the Exchange Act on March 30, 2004 (File No. 000-50658), including any amendment or report filed for the purpose of updating</w:t>
        </w:r>
      </w:hyperlink>
      <w:r>
        <w:rPr>
          <w:rFonts w:ascii="Times New Roman" w:cs="Times New Roman" w:eastAsia="Times New Roman" w:hAnsi="Times New Roman"/>
          <w:sz w:val="17"/>
          <w:szCs w:val="17"/>
          <w:u w:val="single" w:color="auto"/>
          <w:color w:val="0563C1"/>
        </w:rPr>
        <w:t xml:space="preserve"> </w:t>
      </w:r>
      <w:hyperlink r:id="rId13">
        <w:r>
          <w:rPr>
            <w:rFonts w:ascii="Times New Roman" w:cs="Times New Roman" w:eastAsia="Times New Roman" w:hAnsi="Times New Roman"/>
            <w:sz w:val="17"/>
            <w:szCs w:val="17"/>
            <w:u w:val="single" w:color="auto"/>
            <w:color w:val="0563C1"/>
          </w:rPr>
          <w:t>such description.</w:t>
        </w:r>
      </w:hyperlink>
    </w:p>
    <w:p>
      <w:pPr>
        <w:spacing w:after="0" w:line="175" w:lineRule="exact"/>
        <w:rPr>
          <w:rFonts w:ascii="Times New Roman" w:cs="Times New Roman" w:eastAsia="Times New Roman" w:hAnsi="Times New Roman"/>
          <w:sz w:val="17"/>
          <w:szCs w:val="17"/>
          <w:u w:val="single" w:color="auto"/>
          <w:color w:val="0563C1"/>
        </w:rPr>
      </w:pPr>
    </w:p>
    <w:p>
      <w:pPr>
        <w:ind w:right="20" w:firstLine="481"/>
        <w:spacing w:after="0" w:line="274" w:lineRule="auto"/>
        <w:rPr>
          <w:sz w:val="20"/>
          <w:szCs w:val="20"/>
          <w:color w:val="auto"/>
        </w:rPr>
      </w:pPr>
      <w:r>
        <w:rPr>
          <w:rFonts w:ascii="Times New Roman" w:cs="Times New Roman" w:eastAsia="Times New Roman" w:hAnsi="Times New Roman"/>
          <w:sz w:val="17"/>
          <w:szCs w:val="17"/>
          <w:color w:val="auto"/>
        </w:rPr>
        <w:t>In addition, 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filing such documents.</w:t>
      </w:r>
    </w:p>
    <w:p>
      <w:pPr>
        <w:spacing w:after="0" w:line="20" w:lineRule="exact"/>
        <w:rPr>
          <w:rFonts w:ascii="Times New Roman" w:cs="Times New Roman" w:eastAsia="Times New Roman" w:hAnsi="Times New Roman"/>
          <w:sz w:val="17"/>
          <w:szCs w:val="17"/>
          <w:u w:val="single" w:color="auto"/>
          <w:color w:val="0563C1"/>
        </w:rPr>
      </w:pPr>
      <w:r>
        <w:rPr>
          <w:rFonts w:ascii="Times New Roman" w:cs="Times New Roman" w:eastAsia="Times New Roman" w:hAnsi="Times New Roman"/>
          <w:sz w:val="17"/>
          <w:szCs w:val="17"/>
          <w:u w:val="single" w:color="auto"/>
          <w:color w:val="0563C1"/>
        </w:rPr>
        <w:drawing>
          <wp:anchor simplePos="0" relativeHeight="251657728" behindDoc="1" locked="0" layoutInCell="0" allowOverlap="1">
            <wp:simplePos x="0" y="0"/>
            <wp:positionH relativeFrom="column">
              <wp:posOffset>-9525</wp:posOffset>
            </wp:positionH>
            <wp:positionV relativeFrom="paragraph">
              <wp:posOffset>316230</wp:posOffset>
            </wp:positionV>
            <wp:extent cx="717931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40"/>
          </w:cols>
          <w:pgMar w:left="320" w:top="34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Exhibit</w:t>
      </w:r>
    </w:p>
    <w:p>
      <w:pPr>
        <w:spacing w:after="0" w:line="19" w:lineRule="exact"/>
        <w:rPr>
          <w:sz w:val="20"/>
          <w:szCs w:val="20"/>
          <w:color w:val="auto"/>
        </w:rPr>
      </w:pPr>
    </w:p>
    <w:p>
      <w:pPr>
        <w:ind w:left="940"/>
        <w:spacing w:after="0"/>
        <w:tabs>
          <w:tab w:leader="none" w:pos="1620" w:val="left"/>
        </w:tabs>
        <w:rPr>
          <w:sz w:val="20"/>
          <w:szCs w:val="20"/>
          <w:color w:val="auto"/>
        </w:rPr>
      </w:pPr>
      <w:r>
        <w:rPr>
          <w:rFonts w:ascii="Times New Roman" w:cs="Times New Roman" w:eastAsia="Times New Roman" w:hAnsi="Times New Roman"/>
          <w:sz w:val="16"/>
          <w:szCs w:val="16"/>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10795</wp:posOffset>
            </wp:positionV>
            <wp:extent cx="5941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4" w:lineRule="exact"/>
        <w:rPr>
          <w:sz w:val="20"/>
          <w:szCs w:val="20"/>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4.1 *  </w:t>
      </w:r>
      <w:hyperlink r:id="rId16">
        <w:r>
          <w:rPr>
            <w:rFonts w:ascii="Times New Roman" w:cs="Times New Roman" w:eastAsia="Times New Roman" w:hAnsi="Times New Roman"/>
            <w:sz w:val="17"/>
            <w:szCs w:val="17"/>
            <w:u w:val="single" w:color="auto"/>
            <w:color w:val="0000EE"/>
          </w:rPr>
          <w:t>2021 Stock Incentive Plan.</w:t>
        </w:r>
      </w:hyperlink>
    </w:p>
    <w:p>
      <w:pPr>
        <w:spacing w:after="0" w:line="38" w:lineRule="exact"/>
        <w:rPr>
          <w:sz w:val="20"/>
          <w:szCs w:val="20"/>
          <w:color w:val="auto"/>
        </w:rPr>
      </w:pPr>
    </w:p>
    <w:p>
      <w:pPr>
        <w:ind w:left="1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5.1  </w:t>
      </w:r>
      <w:hyperlink w:anchor="page5">
        <w:r>
          <w:rPr>
            <w:rFonts w:ascii="Times New Roman" w:cs="Times New Roman" w:eastAsia="Times New Roman" w:hAnsi="Times New Roman"/>
            <w:sz w:val="17"/>
            <w:szCs w:val="17"/>
            <w:u w:val="single" w:color="auto"/>
            <w:color w:val="0000EE"/>
          </w:rPr>
          <w:t>Opinion of DLA Piper LLP (US).</w:t>
        </w:r>
      </w:hyperlink>
    </w:p>
    <w:p>
      <w:pPr>
        <w:spacing w:after="0" w:line="51" w:lineRule="exact"/>
        <w:rPr>
          <w:sz w:val="20"/>
          <w:szCs w:val="20"/>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23.1  </w:t>
      </w:r>
      <w:hyperlink w:anchor="page5">
        <w:r>
          <w:rPr>
            <w:rFonts w:ascii="Times New Roman" w:cs="Times New Roman" w:eastAsia="Times New Roman" w:hAnsi="Times New Roman"/>
            <w:sz w:val="17"/>
            <w:szCs w:val="17"/>
            <w:u w:val="single" w:color="auto"/>
            <w:color w:val="0000EE"/>
          </w:rPr>
          <w:t>Consent of DLA Piper LLP (US) (included in Exhibit 5.1).</w:t>
        </w:r>
      </w:hyperlink>
    </w:p>
    <w:p>
      <w:pPr>
        <w:spacing w:after="0" w:line="51" w:lineRule="exact"/>
        <w:rPr>
          <w:sz w:val="20"/>
          <w:szCs w:val="20"/>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23.2  </w:t>
      </w:r>
      <w:hyperlink w:anchor="page6">
        <w:r>
          <w:rPr>
            <w:rFonts w:ascii="Times New Roman" w:cs="Times New Roman" w:eastAsia="Times New Roman" w:hAnsi="Times New Roman"/>
            <w:sz w:val="17"/>
            <w:szCs w:val="17"/>
            <w:u w:val="single" w:color="auto"/>
            <w:color w:val="0000EE"/>
          </w:rPr>
          <w:t>Consent of Moss Adams LLP.</w:t>
        </w:r>
      </w:hyperlink>
    </w:p>
    <w:p>
      <w:pPr>
        <w:spacing w:after="0" w:line="51" w:lineRule="exact"/>
        <w:rPr>
          <w:sz w:val="20"/>
          <w:szCs w:val="20"/>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24.1  </w:t>
      </w:r>
      <w:hyperlink w:anchor="page4">
        <w:r>
          <w:rPr>
            <w:rFonts w:ascii="Times New Roman" w:cs="Times New Roman" w:eastAsia="Times New Roman" w:hAnsi="Times New Roman"/>
            <w:sz w:val="17"/>
            <w:szCs w:val="17"/>
            <w:u w:val="single" w:color="auto"/>
            <w:color w:val="0000EE"/>
          </w:rPr>
          <w:t>Power of Attorney (included on the signature page to this registration statement).</w:t>
        </w:r>
      </w:hyperlink>
    </w:p>
    <w:p>
      <w:pPr>
        <w:spacing w:after="0" w:line="51" w:lineRule="exact"/>
        <w:rPr>
          <w:sz w:val="20"/>
          <w:szCs w:val="20"/>
          <w:color w:val="auto"/>
        </w:rPr>
      </w:pPr>
    </w:p>
    <w:p>
      <w:pPr>
        <w:ind w:left="1640" w:hanging="367"/>
        <w:spacing w:after="0"/>
        <w:tabs>
          <w:tab w:leader="none" w:pos="1640" w:val="left"/>
        </w:tabs>
        <w:numPr>
          <w:ilvl w:val="1"/>
          <w:numId w:val="2"/>
        </w:numPr>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u w:val="single" w:color="auto"/>
            <w:color w:val="0000EE"/>
          </w:rPr>
          <w:t>Filing Fee Table</w:t>
        </w:r>
      </w:hyperlink>
      <w:r>
        <w:rPr>
          <w:rFonts w:ascii="Times New Roman" w:cs="Times New Roman" w:eastAsia="Times New Roman" w:hAnsi="Times New Roman"/>
          <w:sz w:val="17"/>
          <w:szCs w:val="17"/>
          <w:color w:val="000000"/>
        </w:rPr>
        <w:t>.</w:t>
      </w:r>
    </w:p>
    <w:p>
      <w:pPr>
        <w:spacing w:after="0" w:line="200" w:lineRule="exact"/>
        <w:rPr>
          <w:rFonts w:ascii="Times New Roman" w:cs="Times New Roman" w:eastAsia="Times New Roman" w:hAnsi="Times New Roman"/>
          <w:sz w:val="17"/>
          <w:szCs w:val="17"/>
          <w:color w:val="0000EE"/>
        </w:rPr>
      </w:pPr>
    </w:p>
    <w:p>
      <w:pPr>
        <w:spacing w:after="0" w:line="200" w:lineRule="exact"/>
        <w:rPr>
          <w:rFonts w:ascii="Times New Roman" w:cs="Times New Roman" w:eastAsia="Times New Roman" w:hAnsi="Times New Roman"/>
          <w:sz w:val="17"/>
          <w:szCs w:val="17"/>
          <w:color w:val="0000EE"/>
        </w:rPr>
      </w:pPr>
    </w:p>
    <w:p>
      <w:pPr>
        <w:spacing w:after="0" w:line="236" w:lineRule="exact"/>
        <w:rPr>
          <w:rFonts w:ascii="Times New Roman" w:cs="Times New Roman" w:eastAsia="Times New Roman" w:hAnsi="Times New Roman"/>
          <w:sz w:val="17"/>
          <w:szCs w:val="17"/>
          <w:color w:val="0000EE"/>
        </w:rPr>
      </w:pPr>
    </w:p>
    <w:p>
      <w:pPr>
        <w:ind w:left="520" w:hanging="507"/>
        <w:spacing w:after="0" w:line="293"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*Incorporated by reference to Appendix A of Marchex, Inc.’s Definitive Proxy Statement on Form 14A (File No. 000-50658) as filed with the Commission on August 20, 2021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174625</wp:posOffset>
            </wp:positionV>
            <wp:extent cx="717931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5" w:lineRule="exact"/>
        <w:rPr>
          <w:sz w:val="20"/>
          <w:szCs w:val="20"/>
          <w:color w:val="auto"/>
        </w:rPr>
      </w:pPr>
    </w:p>
    <w:p>
      <w:pPr>
        <w:jc w:val="both"/>
        <w:ind w:firstLine="481"/>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April 15, 2022.</w:t>
      </w:r>
    </w:p>
    <w:p>
      <w:pPr>
        <w:spacing w:after="0" w:line="314" w:lineRule="exact"/>
        <w:rPr>
          <w:sz w:val="20"/>
          <w:szCs w:val="20"/>
          <w:color w:val="auto"/>
        </w:rPr>
      </w:pPr>
    </w:p>
    <w:p>
      <w:pPr>
        <w:ind w:left="5700"/>
        <w:spacing w:after="0"/>
        <w:rPr>
          <w:sz w:val="20"/>
          <w:szCs w:val="20"/>
          <w:color w:val="auto"/>
        </w:rPr>
      </w:pPr>
      <w:r>
        <w:rPr>
          <w:rFonts w:ascii="Calibri" w:cs="Calibri" w:eastAsia="Calibri" w:hAnsi="Calibri"/>
          <w:sz w:val="17"/>
          <w:szCs w:val="17"/>
          <w:color w:val="auto"/>
        </w:rPr>
        <w:t>MARCHEX, INC.</w:t>
      </w:r>
    </w:p>
    <w:p>
      <w:pPr>
        <w:spacing w:after="0" w:line="234" w:lineRule="exact"/>
        <w:rPr>
          <w:sz w:val="20"/>
          <w:szCs w:val="20"/>
          <w:color w:val="auto"/>
        </w:rPr>
      </w:pPr>
    </w:p>
    <w:p>
      <w:pPr>
        <w:ind w:left="5700"/>
        <w:spacing w:after="0"/>
        <w:tabs>
          <w:tab w:leader="none" w:pos="7880" w:val="left"/>
        </w:tabs>
        <w:rPr>
          <w:sz w:val="20"/>
          <w:szCs w:val="20"/>
          <w:color w:val="auto"/>
        </w:rPr>
      </w:pPr>
      <w:r>
        <w:rPr>
          <w:rFonts w:ascii="Calibri" w:cs="Calibri" w:eastAsia="Calibri" w:hAnsi="Calibri"/>
          <w:sz w:val="17"/>
          <w:szCs w:val="17"/>
          <w:color w:val="auto"/>
        </w:rPr>
        <w:t>By:</w:t>
      </w:r>
      <w:r>
        <w:rPr>
          <w:sz w:val="20"/>
          <w:szCs w:val="20"/>
          <w:color w:val="auto"/>
        </w:rPr>
        <w:tab/>
      </w:r>
      <w:r>
        <w:rPr>
          <w:rFonts w:ascii="Calibri" w:cs="Calibri" w:eastAsia="Calibri" w:hAnsi="Calibri"/>
          <w:sz w:val="17"/>
          <w:szCs w:val="17"/>
          <w:color w:val="auto"/>
        </w:rPr>
        <w:t>/s/ MICHAEL ARENDS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330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6" w:lineRule="exact"/>
        <w:rPr>
          <w:sz w:val="20"/>
          <w:szCs w:val="20"/>
          <w:color w:val="auto"/>
        </w:rPr>
      </w:pPr>
    </w:p>
    <w:p>
      <w:pPr>
        <w:ind w:left="8080"/>
        <w:spacing w:after="0"/>
        <w:rPr>
          <w:sz w:val="20"/>
          <w:szCs w:val="20"/>
          <w:color w:val="auto"/>
        </w:rPr>
      </w:pPr>
      <w:r>
        <w:rPr>
          <w:rFonts w:ascii="Calibri" w:cs="Calibri" w:eastAsia="Calibri" w:hAnsi="Calibri"/>
          <w:sz w:val="17"/>
          <w:szCs w:val="17"/>
          <w:b w:val="1"/>
          <w:bCs w:val="1"/>
          <w:color w:val="auto"/>
        </w:rPr>
        <w:t>Michael Arends</w:t>
      </w:r>
    </w:p>
    <w:p>
      <w:pPr>
        <w:spacing w:after="0" w:line="1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7"/>
          <w:szCs w:val="17"/>
          <w:b w:val="1"/>
          <w:bCs w:val="1"/>
          <w:color w:val="auto"/>
        </w:rPr>
        <w:t>Co-CEO</w:t>
      </w:r>
    </w:p>
    <w:p>
      <w:pPr>
        <w:spacing w:after="0" w:line="3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b w:val="1"/>
          <w:bCs w:val="1"/>
          <w:color w:val="auto"/>
        </w:rPr>
        <w:t>(Principal Executive Officer for SEC reporting purposes)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35" w:lineRule="exact"/>
        <w:rPr>
          <w:sz w:val="20"/>
          <w:szCs w:val="20"/>
          <w:color w:val="auto"/>
        </w:rPr>
      </w:pPr>
    </w:p>
    <w:p>
      <w:pPr>
        <w:ind w:firstLine="545"/>
        <w:spacing w:after="0" w:line="264" w:lineRule="auto"/>
        <w:rPr>
          <w:sz w:val="20"/>
          <w:szCs w:val="20"/>
          <w:color w:val="auto"/>
        </w:rPr>
      </w:pPr>
      <w:r>
        <w:rPr>
          <w:rFonts w:ascii="Times New Roman" w:cs="Times New Roman" w:eastAsia="Times New Roman" w:hAnsi="Times New Roman"/>
          <w:sz w:val="17"/>
          <w:szCs w:val="17"/>
          <w:color w:val="auto"/>
        </w:rPr>
        <w:t>We, the undersigned officers and directors of Marchex, Inc., hereby severally constitute and appoint Michael Arends as our true and lawful attorney with full power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Marchex, Inc. to comply with the provisions of the Securities Act, as amended, and all requirements of the Securities and Exchange Commission, hereby ratifying and confirming our signatures as they may be signed by our said attorney to said registration statement and any and all amendments thereto.</w:t>
      </w:r>
    </w:p>
    <w:p>
      <w:pPr>
        <w:spacing w:after="0" w:line="185" w:lineRule="exact"/>
        <w:rPr>
          <w:sz w:val="20"/>
          <w:szCs w:val="20"/>
          <w:color w:val="auto"/>
        </w:rPr>
      </w:pPr>
    </w:p>
    <w:p>
      <w:pPr>
        <w:ind w:right="100" w:firstLine="481"/>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80" w:type="dxa"/>
            <w:vAlign w:val="bottom"/>
          </w:tcPr>
          <w:p>
            <w:pPr>
              <w:spacing w:after="0"/>
              <w:rPr>
                <w:sz w:val="16"/>
                <w:szCs w:val="16"/>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06"/>
        </w:trPr>
        <w:tc>
          <w:tcPr>
            <w:tcW w:w="5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MICHAEL ARENDS</w:t>
            </w:r>
          </w:p>
        </w:tc>
        <w:tc>
          <w:tcPr>
            <w:tcW w:w="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15,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332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jc w:val="center"/>
        <w:ind w:right="5980"/>
        <w:spacing w:after="0"/>
        <w:rPr>
          <w:sz w:val="20"/>
          <w:szCs w:val="20"/>
          <w:color w:val="auto"/>
        </w:rPr>
      </w:pPr>
      <w:r>
        <w:rPr>
          <w:rFonts w:ascii="Times New Roman" w:cs="Times New Roman" w:eastAsia="Times New Roman" w:hAnsi="Times New Roman"/>
          <w:sz w:val="17"/>
          <w:szCs w:val="17"/>
          <w:b w:val="1"/>
          <w:bCs w:val="1"/>
          <w:color w:val="auto"/>
        </w:rPr>
        <w:t>Michael Arends</w:t>
      </w:r>
    </w:p>
    <w:p>
      <w:pPr>
        <w:spacing w:after="0" w:line="25" w:lineRule="exact"/>
        <w:rPr>
          <w:sz w:val="20"/>
          <w:szCs w:val="20"/>
          <w:color w:val="auto"/>
        </w:rPr>
      </w:pPr>
    </w:p>
    <w:p>
      <w:pPr>
        <w:jc w:val="center"/>
        <w:ind w:right="5980"/>
        <w:spacing w:after="0"/>
        <w:rPr>
          <w:sz w:val="20"/>
          <w:szCs w:val="20"/>
          <w:color w:val="auto"/>
        </w:rPr>
      </w:pPr>
      <w:r>
        <w:rPr>
          <w:rFonts w:ascii="Times New Roman" w:cs="Times New Roman" w:eastAsia="Times New Roman" w:hAnsi="Times New Roman"/>
          <w:sz w:val="17"/>
          <w:szCs w:val="17"/>
          <w:b w:val="1"/>
          <w:bCs w:val="1"/>
          <w:color w:val="auto"/>
        </w:rPr>
        <w:t>Co-CEO</w:t>
      </w:r>
    </w:p>
    <w:p>
      <w:pPr>
        <w:spacing w:after="0" w:line="12" w:lineRule="exact"/>
        <w:rPr>
          <w:sz w:val="20"/>
          <w:szCs w:val="20"/>
          <w:color w:val="auto"/>
        </w:rPr>
      </w:pPr>
    </w:p>
    <w:p>
      <w:pPr>
        <w:jc w:val="center"/>
        <w:ind w:right="5980"/>
        <w:spacing w:after="0"/>
        <w:rPr>
          <w:sz w:val="20"/>
          <w:szCs w:val="20"/>
          <w:color w:val="auto"/>
        </w:rPr>
      </w:pPr>
      <w:r>
        <w:rPr>
          <w:rFonts w:ascii="Times New Roman" w:cs="Times New Roman" w:eastAsia="Times New Roman" w:hAnsi="Times New Roman"/>
          <w:sz w:val="17"/>
          <w:szCs w:val="17"/>
          <w:b w:val="1"/>
          <w:bCs w:val="1"/>
          <w:color w:val="auto"/>
        </w:rPr>
        <w:t>(Principal Executive Officer for SEC reporting purposes, Principal</w:t>
      </w:r>
    </w:p>
    <w:p>
      <w:pPr>
        <w:spacing w:after="0" w:line="12" w:lineRule="exact"/>
        <w:rPr>
          <w:sz w:val="20"/>
          <w:szCs w:val="20"/>
          <w:color w:val="auto"/>
        </w:rPr>
      </w:pPr>
    </w:p>
    <w:p>
      <w:pPr>
        <w:jc w:val="center"/>
        <w:ind w:right="5980"/>
        <w:spacing w:after="0"/>
        <w:rPr>
          <w:sz w:val="20"/>
          <w:szCs w:val="20"/>
          <w:color w:val="auto"/>
        </w:rPr>
      </w:pPr>
      <w:r>
        <w:rPr>
          <w:rFonts w:ascii="Times New Roman" w:cs="Times New Roman" w:eastAsia="Times New Roman" w:hAnsi="Times New Roman"/>
          <w:sz w:val="17"/>
          <w:szCs w:val="17"/>
          <w:b w:val="1"/>
          <w:bCs w:val="1"/>
          <w:color w:val="auto"/>
        </w:rPr>
        <w:t>Financial Officer, and Principal Accounting Officer)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color w:val="auto"/>
              </w:rPr>
              <w:t>RUSSELL C. HOROWITZ</w:t>
            </w:r>
          </w:p>
        </w:tc>
        <w:tc>
          <w:tcPr>
            <w:tcW w:w="260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98"/>
              </w:rPr>
              <w:t>April 15, 2022</w:t>
            </w:r>
          </w:p>
        </w:tc>
      </w:tr>
      <w:tr>
        <w:trPr>
          <w:trHeight w:val="181"/>
        </w:trPr>
        <w:tc>
          <w:tcPr>
            <w:tcW w:w="52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Russell C. Horowitz</w:t>
            </w:r>
          </w:p>
        </w:tc>
        <w:tc>
          <w:tcPr>
            <w:tcW w:w="2600" w:type="dxa"/>
            <w:vAlign w:val="bottom"/>
          </w:tcPr>
          <w:p>
            <w:pPr>
              <w:spacing w:after="0"/>
              <w:rPr>
                <w:sz w:val="15"/>
                <w:szCs w:val="15"/>
                <w:color w:val="auto"/>
              </w:rPr>
            </w:pPr>
          </w:p>
        </w:tc>
      </w:tr>
      <w:tr>
        <w:trPr>
          <w:trHeight w:val="228"/>
        </w:trPr>
        <w:tc>
          <w:tcPr>
            <w:tcW w:w="5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Co-CEO and Executive Director</w:t>
            </w:r>
          </w:p>
        </w:tc>
        <w:tc>
          <w:tcPr>
            <w:tcW w:w="2600" w:type="dxa"/>
            <w:vAlign w:val="bottom"/>
          </w:tcPr>
          <w:p>
            <w:pPr>
              <w:spacing w:after="0"/>
              <w:rPr>
                <w:sz w:val="19"/>
                <w:szCs w:val="19"/>
                <w:color w:val="auto"/>
              </w:rPr>
            </w:pPr>
          </w:p>
        </w:tc>
      </w:tr>
      <w:tr>
        <w:trPr>
          <w:trHeight w:val="481"/>
        </w:trPr>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 DENNIS CLINE</w:t>
            </w:r>
          </w:p>
        </w:tc>
        <w:tc>
          <w:tcPr>
            <w:tcW w:w="260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98"/>
              </w:rPr>
              <w:t>April 15, 2022</w:t>
            </w:r>
          </w:p>
        </w:tc>
      </w:tr>
      <w:tr>
        <w:trPr>
          <w:trHeight w:val="181"/>
        </w:trPr>
        <w:tc>
          <w:tcPr>
            <w:tcW w:w="52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Dennis Cline</w:t>
            </w:r>
          </w:p>
        </w:tc>
        <w:tc>
          <w:tcPr>
            <w:tcW w:w="2600" w:type="dxa"/>
            <w:vAlign w:val="bottom"/>
          </w:tcPr>
          <w:p>
            <w:pPr>
              <w:spacing w:after="0"/>
              <w:rPr>
                <w:sz w:val="15"/>
                <w:szCs w:val="15"/>
                <w:color w:val="auto"/>
              </w:rPr>
            </w:pPr>
          </w:p>
        </w:tc>
      </w:tr>
      <w:tr>
        <w:trPr>
          <w:trHeight w:val="228"/>
        </w:trPr>
        <w:tc>
          <w:tcPr>
            <w:tcW w:w="5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2600" w:type="dxa"/>
            <w:vAlign w:val="bottom"/>
          </w:tcPr>
          <w:p>
            <w:pPr>
              <w:spacing w:after="0"/>
              <w:rPr>
                <w:sz w:val="19"/>
                <w:szCs w:val="19"/>
                <w:color w:val="auto"/>
              </w:rPr>
            </w:pPr>
          </w:p>
        </w:tc>
      </w:tr>
      <w:tr>
        <w:trPr>
          <w:trHeight w:val="468"/>
        </w:trPr>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color w:val="auto"/>
              </w:rPr>
              <w:t>DONALD COGSVILLE</w:t>
            </w:r>
          </w:p>
        </w:tc>
        <w:tc>
          <w:tcPr>
            <w:tcW w:w="260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98"/>
              </w:rPr>
              <w:t>April 15, 2022</w:t>
            </w:r>
          </w:p>
        </w:tc>
      </w:tr>
      <w:tr>
        <w:trPr>
          <w:trHeight w:val="181"/>
        </w:trPr>
        <w:tc>
          <w:tcPr>
            <w:tcW w:w="52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Donald Cogsville</w:t>
            </w:r>
          </w:p>
        </w:tc>
        <w:tc>
          <w:tcPr>
            <w:tcW w:w="2600" w:type="dxa"/>
            <w:vAlign w:val="bottom"/>
          </w:tcPr>
          <w:p>
            <w:pPr>
              <w:spacing w:after="0"/>
              <w:rPr>
                <w:sz w:val="15"/>
                <w:szCs w:val="15"/>
                <w:color w:val="auto"/>
              </w:rPr>
            </w:pPr>
          </w:p>
        </w:tc>
      </w:tr>
      <w:tr>
        <w:trPr>
          <w:trHeight w:val="228"/>
        </w:trPr>
        <w:tc>
          <w:tcPr>
            <w:tcW w:w="5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2600" w:type="dxa"/>
            <w:vAlign w:val="bottom"/>
          </w:tcPr>
          <w:p>
            <w:pPr>
              <w:spacing w:after="0"/>
              <w:rPr>
                <w:sz w:val="19"/>
                <w:szCs w:val="19"/>
                <w:color w:val="auto"/>
              </w:rPr>
            </w:pPr>
          </w:p>
        </w:tc>
      </w:tr>
      <w:tr>
        <w:trPr>
          <w:trHeight w:val="481"/>
        </w:trPr>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xml:space="preserve">/s/ </w:t>
            </w:r>
            <w:r>
              <w:rPr>
                <w:rFonts w:ascii="Times New Roman" w:cs="Times New Roman" w:eastAsia="Times New Roman" w:hAnsi="Times New Roman"/>
                <w:sz w:val="17"/>
                <w:szCs w:val="17"/>
                <w:color w:val="auto"/>
                <w:w w:val="99"/>
              </w:rPr>
              <w:t>M. WAYNE WISEHART</w:t>
            </w:r>
          </w:p>
        </w:tc>
        <w:tc>
          <w:tcPr>
            <w:tcW w:w="2600" w:type="dxa"/>
            <w:vAlign w:val="bottom"/>
          </w:tcPr>
          <w:p>
            <w:pPr>
              <w:ind w:left="1600"/>
              <w:spacing w:after="0"/>
              <w:rPr>
                <w:sz w:val="20"/>
                <w:szCs w:val="20"/>
                <w:color w:val="auto"/>
              </w:rPr>
            </w:pPr>
            <w:r>
              <w:rPr>
                <w:rFonts w:ascii="Times New Roman" w:cs="Times New Roman" w:eastAsia="Times New Roman" w:hAnsi="Times New Roman"/>
                <w:sz w:val="17"/>
                <w:szCs w:val="17"/>
                <w:color w:val="auto"/>
                <w:w w:val="98"/>
              </w:rPr>
              <w:t>April 15, 2022</w:t>
            </w:r>
          </w:p>
        </w:tc>
      </w:tr>
      <w:tr>
        <w:trPr>
          <w:trHeight w:val="181"/>
        </w:trPr>
        <w:tc>
          <w:tcPr>
            <w:tcW w:w="52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M. Wayne Wisehart</w:t>
            </w:r>
          </w:p>
        </w:tc>
        <w:tc>
          <w:tcPr>
            <w:tcW w:w="2600" w:type="dxa"/>
            <w:vAlign w:val="bottom"/>
          </w:tcPr>
          <w:p>
            <w:pPr>
              <w:spacing w:after="0"/>
              <w:rPr>
                <w:sz w:val="15"/>
                <w:szCs w:val="15"/>
                <w:color w:val="auto"/>
              </w:rPr>
            </w:pPr>
          </w:p>
        </w:tc>
      </w:tr>
      <w:tr>
        <w:trPr>
          <w:trHeight w:val="228"/>
        </w:trPr>
        <w:tc>
          <w:tcPr>
            <w:tcW w:w="5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2600" w:type="dxa"/>
            <w:vAlign w:val="bottom"/>
          </w:tcPr>
          <w:p>
            <w:pPr>
              <w:spacing w:after="0"/>
              <w:rPr>
                <w:sz w:val="19"/>
                <w:szCs w:val="19"/>
                <w:color w:val="auto"/>
              </w:rPr>
            </w:pPr>
          </w:p>
        </w:tc>
      </w:tr>
    </w:tbl>
    <w:p>
      <w:pPr>
        <w:sectPr>
          <w:pgSz w:w="11900" w:h="16838" w:orient="portrait"/>
          <w:cols w:equalWidth="0" w:num="1">
            <w:col w:w="11220"/>
          </w:cols>
          <w:pgMar w:left="320" w:top="379"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April 15, 2022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Marchex,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520 Pike Street, Suite 2000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 98101</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Re: Registration Statement on Form S-8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7" w:lineRule="exact"/>
        <w:rPr>
          <w:sz w:val="20"/>
          <w:szCs w:val="20"/>
          <w:color w:val="auto"/>
        </w:rPr>
      </w:pPr>
    </w:p>
    <w:p>
      <w:pPr>
        <w:jc w:val="both"/>
        <w:ind w:right="120" w:firstLine="481"/>
        <w:spacing w:after="0" w:line="223" w:lineRule="exact"/>
        <w:rPr>
          <w:sz w:val="20"/>
          <w:szCs w:val="20"/>
          <w:color w:val="auto"/>
        </w:rPr>
      </w:pPr>
      <w:r>
        <w:rPr>
          <w:rFonts w:ascii="Times New Roman" w:cs="Times New Roman" w:eastAsia="Times New Roman" w:hAnsi="Times New Roman"/>
          <w:sz w:val="17"/>
          <w:szCs w:val="17"/>
          <w:color w:val="auto"/>
        </w:rPr>
        <w:t>We have acted as counsel to Marchex, Inc., a Delaware corporation (the “Company”), in connection with the registration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(the “Registration Statement”) under the Securities Act of 1933, as amended (the “Securities Act”), of up to 1,261,566 shares of Class B Common Stock, par value $0.01 per share (the “Shares”), reserved for issuance under the Marchex, Inc. 2021 Stock Incentive Plan (the “Plan”).</w:t>
      </w:r>
    </w:p>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This opinion is being furnished in accordance with the requirements of Item 8 of Form S-8 and Item 601(b)(5)(i) of Regulation S-K.</w:t>
      </w:r>
    </w:p>
    <w:p>
      <w:pPr>
        <w:spacing w:after="0" w:line="233" w:lineRule="exact"/>
        <w:rPr>
          <w:sz w:val="20"/>
          <w:szCs w:val="20"/>
          <w:color w:val="auto"/>
        </w:rPr>
      </w:pPr>
    </w:p>
    <w:p>
      <w:pPr>
        <w:ind w:right="240" w:firstLine="481"/>
        <w:spacing w:after="0" w:line="264" w:lineRule="auto"/>
        <w:rPr>
          <w:sz w:val="20"/>
          <w:szCs w:val="20"/>
          <w:color w:val="auto"/>
        </w:rPr>
      </w:pPr>
      <w:r>
        <w:rPr>
          <w:rFonts w:ascii="Times New Roman" w:cs="Times New Roman" w:eastAsia="Times New Roman" w:hAnsi="Times New Roman"/>
          <w:sz w:val="17"/>
          <w:szCs w:val="17"/>
          <w:color w:val="auto"/>
        </w:rPr>
        <w:t>We have examined such instruments, documents and records as we deemed relevant and necessary for the basis of our opinion hereinafter expressed. In such examination, we have assumed the genuineness of all signatures,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of officers of the Company. We express no opinion concerning any law other than the laws of the State of Delaware.</w:t>
      </w:r>
    </w:p>
    <w:p>
      <w:pPr>
        <w:spacing w:after="0" w:line="185" w:lineRule="exact"/>
        <w:rPr>
          <w:sz w:val="20"/>
          <w:szCs w:val="20"/>
          <w:color w:val="auto"/>
        </w:rPr>
      </w:pPr>
    </w:p>
    <w:p>
      <w:pPr>
        <w:ind w:right="320" w:firstLine="481"/>
        <w:spacing w:after="0" w:line="293" w:lineRule="auto"/>
        <w:rPr>
          <w:sz w:val="20"/>
          <w:szCs w:val="20"/>
          <w:color w:val="auto"/>
        </w:rPr>
      </w:pPr>
      <w:r>
        <w:rPr>
          <w:rFonts w:ascii="Times New Roman" w:cs="Times New Roman" w:eastAsia="Times New Roman" w:hAnsi="Times New Roman"/>
          <w:sz w:val="17"/>
          <w:szCs w:val="17"/>
          <w:color w:val="auto"/>
        </w:rPr>
        <w:t>On the basis of the foregoing, we are of the opinion that, when the Shares are issued and paid for in accordance with the terms of the Plan, they will be validly issued, fully paid and nonassessable.</w:t>
      </w:r>
    </w:p>
    <w:p>
      <w:pPr>
        <w:spacing w:after="0" w:line="172" w:lineRule="exact"/>
        <w:rPr>
          <w:sz w:val="20"/>
          <w:szCs w:val="20"/>
          <w:color w:val="auto"/>
        </w:rPr>
      </w:pPr>
    </w:p>
    <w:p>
      <w:pPr>
        <w:ind w:right="140" w:firstLine="481"/>
        <w:spacing w:after="0" w:line="293"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5.1 to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59" w:lineRule="exact"/>
        <w:rPr>
          <w:sz w:val="20"/>
          <w:szCs w:val="20"/>
          <w:color w:val="auto"/>
        </w:rPr>
      </w:pPr>
    </w:p>
    <w:p>
      <w:pPr>
        <w:ind w:right="180" w:firstLine="481"/>
        <w:spacing w:after="0" w:line="267" w:lineRule="auto"/>
        <w:rPr>
          <w:sz w:val="20"/>
          <w:szCs w:val="20"/>
          <w:color w:val="auto"/>
        </w:rPr>
      </w:pPr>
      <w:r>
        <w:rPr>
          <w:rFonts w:ascii="Times New Roman" w:cs="Times New Roman" w:eastAsia="Times New Roman" w:hAnsi="Times New Roman"/>
          <w:sz w:val="17"/>
          <w:szCs w:val="17"/>
          <w:color w:val="auto"/>
        </w:rPr>
        <w:t>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DLA PIPER LLP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DLA PIPER LLP (US)</w:t>
      </w:r>
    </w:p>
    <w:p>
      <w:pPr>
        <w:sectPr>
          <w:pgSz w:w="11900" w:h="16838" w:orient="portrait"/>
          <w:cols w:equalWidth="0" w:num="1">
            <w:col w:w="11240"/>
          </w:cols>
          <w:pgMar w:left="320" w:top="11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Consent of Independent Registered Public Accounting Firm</w:t>
      </w:r>
    </w:p>
    <w:p>
      <w:pPr>
        <w:spacing w:after="0" w:line="240"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Marchex, Inc. (the “Company”), of our report dated March 29, 2022, relating to the consolidated financial statements of the Company (which report expresses an unqualified opinion) appearing in the Annual Report on Form 10-K of the Company for the year ended December 31, 2021, filed with the Securities and Exchange Commission.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Washington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15, 2022</w:t>
      </w:r>
    </w:p>
    <w:p>
      <w:pPr>
        <w:sectPr>
          <w:pgSz w:w="11900" w:h="16838" w:orient="portrait"/>
          <w:cols w:equalWidth="0" w:num="1">
            <w:col w:w="11240"/>
          </w:cols>
          <w:pgMar w:left="320" w:top="119" w:right="33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TYPE)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MARCHEX,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TABLE 1: NEWLY REGISTERED SECURITIES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30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30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60" w:type="dxa"/>
            <w:vAlign w:val="bottom"/>
            <w:tcBorders>
              <w:right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30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 Calculation</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4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18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43"/>
        </w:trPr>
        <w:tc>
          <w:tcPr>
            <w:tcW w:w="230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280" w:type="dxa"/>
            <w:vAlign w:val="bottom"/>
            <w:tcBorders>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9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18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00" w:type="dxa"/>
            <w:vAlign w:val="bottom"/>
            <w:tcBorders>
              <w:bottom w:val="single" w:sz="8" w:color="auto"/>
              <w:right w:val="single" w:sz="8" w:color="auto"/>
            </w:tcBorders>
            <w:vMerge w:val="continue"/>
          </w:tcPr>
          <w:p>
            <w:pPr>
              <w:spacing w:after="0"/>
              <w:rPr>
                <w:sz w:val="14"/>
                <w:szCs w:val="14"/>
                <w:color w:val="auto"/>
              </w:rPr>
            </w:pPr>
          </w:p>
        </w:tc>
        <w:tc>
          <w:tcPr>
            <w:tcW w:w="2280" w:type="dxa"/>
            <w:vAlign w:val="bottom"/>
            <w:tcBorders>
              <w:bottom w:val="single" w:sz="8" w:color="auto"/>
              <w:right w:val="single" w:sz="8" w:color="auto"/>
            </w:tcBorders>
            <w:vMerge w:val="continue"/>
          </w:tcPr>
          <w:p>
            <w:pPr>
              <w:spacing w:after="0"/>
              <w:rPr>
                <w:sz w:val="14"/>
                <w:szCs w:val="1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Registered </w:t>
            </w:r>
            <w:r>
              <w:rPr>
                <w:rFonts w:ascii="Times New Roman" w:cs="Times New Roman" w:eastAsia="Times New Roman" w:hAnsi="Times New Roman"/>
                <w:sz w:val="11"/>
                <w:szCs w:val="11"/>
                <w:b w:val="1"/>
                <w:bCs w:val="1"/>
                <w:color w:val="auto"/>
                <w:w w:val="99"/>
              </w:rPr>
              <w:t>(1)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 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16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Registration Fee</w:t>
            </w:r>
          </w:p>
        </w:tc>
        <w:tc>
          <w:tcPr>
            <w:tcW w:w="0" w:type="dxa"/>
            <w:vAlign w:val="bottom"/>
          </w:tcPr>
          <w:p>
            <w:pPr>
              <w:spacing w:after="0"/>
              <w:rPr>
                <w:sz w:val="1"/>
                <w:szCs w:val="1"/>
                <w:color w:val="auto"/>
              </w:rPr>
            </w:pPr>
          </w:p>
        </w:tc>
      </w:tr>
      <w:tr>
        <w:trPr>
          <w:trHeight w:val="183"/>
        </w:trPr>
        <w:tc>
          <w:tcPr>
            <w:tcW w:w="2300" w:type="dxa"/>
            <w:vAlign w:val="bottom"/>
            <w:tcBorders>
              <w:right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Equity</w:t>
            </w:r>
          </w:p>
        </w:tc>
        <w:tc>
          <w:tcPr>
            <w:tcW w:w="2280" w:type="dxa"/>
            <w:vAlign w:val="bottom"/>
            <w:tcBorders>
              <w:right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2021 Stock Incentive Plan,</w:t>
            </w:r>
          </w:p>
        </w:tc>
        <w:tc>
          <w:tcPr>
            <w:tcW w:w="98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14"/>
                <w:szCs w:val="14"/>
                <w:color w:val="auto"/>
              </w:rPr>
              <w:t>(2)</w:t>
            </w:r>
          </w:p>
        </w:tc>
        <w:tc>
          <w:tcPr>
            <w:tcW w:w="98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1,261,566</w:t>
            </w:r>
          </w:p>
        </w:tc>
        <w:tc>
          <w:tcPr>
            <w:tcW w:w="104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 xml:space="preserve">$2.1100 </w:t>
            </w:r>
            <w:r>
              <w:rPr>
                <w:rFonts w:ascii="Times New Roman" w:cs="Times New Roman" w:eastAsia="Times New Roman" w:hAnsi="Times New Roman"/>
                <w:sz w:val="14"/>
                <w:szCs w:val="14"/>
                <w:color w:val="auto"/>
              </w:rPr>
              <w:t>(3)</w:t>
            </w:r>
          </w:p>
        </w:tc>
        <w:tc>
          <w:tcPr>
            <w:tcW w:w="118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$2,661,905</w:t>
            </w:r>
          </w:p>
        </w:tc>
        <w:tc>
          <w:tcPr>
            <w:tcW w:w="1160" w:type="dxa"/>
            <w:vAlign w:val="bottom"/>
            <w:tcBorders>
              <w:right w:val="single" w:sz="8" w:color="auto"/>
            </w:tcBorders>
          </w:tcPr>
          <w:p>
            <w:pPr>
              <w:jc w:val="right"/>
              <w:ind w:right="102"/>
              <w:spacing w:after="0" w:line="183" w:lineRule="exact"/>
              <w:rPr>
                <w:sz w:val="20"/>
                <w:szCs w:val="20"/>
                <w:color w:val="auto"/>
              </w:rPr>
            </w:pPr>
            <w:r>
              <w:rPr>
                <w:rFonts w:ascii="Times New Roman" w:cs="Times New Roman" w:eastAsia="Times New Roman" w:hAnsi="Times New Roman"/>
                <w:sz w:val="17"/>
                <w:szCs w:val="17"/>
                <w:color w:val="auto"/>
              </w:rPr>
              <w:t>$0.0000927</w:t>
            </w:r>
          </w:p>
        </w:tc>
        <w:tc>
          <w:tcPr>
            <w:tcW w:w="13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$246.76</w:t>
            </w:r>
          </w:p>
        </w:tc>
        <w:tc>
          <w:tcPr>
            <w:tcW w:w="0" w:type="dxa"/>
            <w:vAlign w:val="bottom"/>
          </w:tcPr>
          <w:p>
            <w:pPr>
              <w:spacing w:after="0"/>
              <w:rPr>
                <w:sz w:val="1"/>
                <w:szCs w:val="1"/>
                <w:color w:val="auto"/>
              </w:rPr>
            </w:pPr>
          </w:p>
        </w:tc>
      </w:tr>
      <w:tr>
        <w:trPr>
          <w:trHeight w:val="208"/>
        </w:trPr>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Class B Common Stock,</w:t>
            </w: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Shares </w:t>
            </w:r>
            <w:r>
              <w:rPr>
                <w:rFonts w:ascii="Times New Roman" w:cs="Times New Roman" w:eastAsia="Times New Roman" w:hAnsi="Times New Roman"/>
                <w:sz w:val="14"/>
                <w:szCs w:val="14"/>
                <w:color w:val="auto"/>
              </w:rPr>
              <w:t>(3)</w:t>
            </w:r>
          </w:p>
        </w:tc>
        <w:tc>
          <w:tcPr>
            <w:tcW w:w="10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$0.01 par value per share</w:t>
            </w:r>
          </w:p>
        </w:tc>
        <w:tc>
          <w:tcPr>
            <w:tcW w:w="9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2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$2,661,905</w:t>
            </w:r>
          </w:p>
        </w:tc>
        <w:tc>
          <w:tcPr>
            <w:tcW w:w="11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2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2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$246.76</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40" w:right="400" w:hanging="436"/>
        <w:spacing w:after="0" w:line="257" w:lineRule="auto"/>
        <w:tabs>
          <w:tab w:leader="none" w:pos="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registration statement shall also cover any additional shares of Class B common stock which become issuable under the plan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Class B common stock.</w:t>
      </w:r>
    </w:p>
    <w:p>
      <w:pPr>
        <w:spacing w:after="0" w:line="1" w:lineRule="exact"/>
        <w:rPr>
          <w:rFonts w:ascii="Times New Roman" w:cs="Times New Roman" w:eastAsia="Times New Roman" w:hAnsi="Times New Roman"/>
          <w:sz w:val="16"/>
          <w:szCs w:val="16"/>
          <w:color w:val="auto"/>
        </w:rPr>
      </w:pPr>
    </w:p>
    <w:p>
      <w:pPr>
        <w:ind w:left="440" w:right="60" w:hanging="436"/>
        <w:spacing w:after="0" w:line="254" w:lineRule="auto"/>
        <w:tabs>
          <w:tab w:leader="none" w:pos="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 457(h) under the Securities Act of 1933, as amended, solely for the purpose of calculating the registration fee. The computation with respect to unissued options is based upon the average high and low sale prices of the Class B common stock as reported on the NASDAQ Global Select Market on April 12, 2022.</w:t>
      </w:r>
    </w:p>
    <w:p>
      <w:pPr>
        <w:ind w:left="440" w:hanging="436"/>
        <w:spacing w:after="0"/>
        <w:tabs>
          <w:tab w:leader="none" w:pos="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increase in the number of shares authorized for issuance under the 2021 Stock Incentive Plan.</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lvl w:ilvl="1">
      <w:lvlJc w:val="left"/>
      <w:lvlText w:val="%2"/>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1" Type="http://schemas.openxmlformats.org/officeDocument/2006/relationships/hyperlink" Target="http://www.sec.gov/Archives/edgar/data/0001224133/000156459021060970/mchx-s8.htm" TargetMode="External"/><Relationship Id="rId12" Type="http://schemas.openxmlformats.org/officeDocument/2006/relationships/hyperlink" Target="https://www.sec.gov/ix?doc=/Archives/edgar/data/1224133/000156459022012208/mchx-10k_20211231.htm" TargetMode="External"/><Relationship Id="rId13" Type="http://schemas.openxmlformats.org/officeDocument/2006/relationships/hyperlink" Target="http://www.sec.gov/Archives/edgar/data/1224133/000119312504052910/d8a12g.htm" TargetMode="External"/><Relationship Id="rId16" Type="http://schemas.openxmlformats.org/officeDocument/2006/relationships/hyperlink" Target="http://www.sec.gov/Archives/edgar/data/1224133/000156459017013310/mchx-def14a_20170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2022-04-15T15:18:33Z</dcterms:created>
  <dcterms:modified xsi:type="dcterms:W3CDTF">2022-04-15T15:18:33Z</dcterms:modified>
</cp:coreProperties>
</file>