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5412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41274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ARENDS MICHAEL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520 PIKE STREET</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MARCHEX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MCHX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12/30/2022</w:t>
      </w:r>
    </w:p>
    <w:p>
      <w:pPr>
        <w:spacing w:after="0" w:line="20" w:lineRule="exact"/>
        <w:rPr>
          <w:sz w:val="24"/>
          <w:szCs w:val="24"/>
          <w:color w:val="auto"/>
        </w:rPr>
      </w:pPr>
      <w:r>
        <w:rPr>
          <w:sz w:val="24"/>
          <w:szCs w:val="24"/>
          <w:color w:val="auto"/>
        </w:rPr>
        <w:br w:type="column"/>
      </w: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85"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40" w:type="dxa"/>
            <w:vAlign w:val="bottom"/>
          </w:tcPr>
          <w:p>
            <w:pPr>
              <w:spacing w:after="0"/>
              <w:rPr>
                <w:sz w:val="20"/>
                <w:szCs w:val="20"/>
                <w:color w:val="auto"/>
              </w:rPr>
            </w:pPr>
          </w:p>
        </w:tc>
        <w:tc>
          <w:tcPr>
            <w:tcW w:w="1560" w:type="dxa"/>
            <w:vAlign w:val="bottom"/>
          </w:tcPr>
          <w:p>
            <w:pPr>
              <w:ind w:left="860"/>
              <w:spacing w:after="0"/>
              <w:rPr>
                <w:sz w:val="20"/>
                <w:szCs w:val="20"/>
                <w:color w:val="auto"/>
              </w:rPr>
            </w:pPr>
            <w:r>
              <w:rPr>
                <w:rFonts w:ascii="Times New Roman" w:cs="Times New Roman" w:eastAsia="Times New Roman" w:hAnsi="Times New Roman"/>
                <w:sz w:val="17"/>
                <w:szCs w:val="17"/>
                <w:color w:val="0000FF"/>
              </w:rPr>
              <w:t>Co-CEO</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8"/>
          </w:tcPr>
          <w:p>
            <w:pPr>
              <w:ind w:left="14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98101</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12/30/2022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149,000</w:t>
            </w:r>
          </w:p>
        </w:tc>
        <w:tc>
          <w:tcPr>
            <w:tcW w:w="5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1,343,129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18,100</w:t>
            </w:r>
          </w:p>
        </w:tc>
        <w:tc>
          <w:tcPr>
            <w:tcW w:w="300" w:type="dxa"/>
            <w:vAlign w:val="bottom"/>
          </w:tcPr>
          <w:p>
            <w:pPr>
              <w:spacing w:after="0"/>
              <w:rPr>
                <w:sz w:val="22"/>
                <w:szCs w:val="22"/>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6,500</w:t>
            </w:r>
          </w:p>
        </w:tc>
        <w:tc>
          <w:tcPr>
            <w:tcW w:w="3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for Diana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Arends</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(2)(3)</w:t>
            </w:r>
          </w:p>
        </w:tc>
        <w:tc>
          <w:tcPr>
            <w:tcW w:w="660" w:type="dxa"/>
            <w:vAlign w:val="bottom"/>
          </w:tcPr>
          <w:p>
            <w:pPr>
              <w:spacing w:after="0"/>
              <w:rPr>
                <w:sz w:val="12"/>
                <w:szCs w:val="12"/>
                <w:color w:val="auto"/>
              </w:rPr>
            </w:pPr>
          </w:p>
        </w:tc>
        <w:tc>
          <w:tcPr>
            <w:tcW w:w="6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9"/>
              </w:rPr>
              <w:t>Class B</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149,000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w:t>
            </w:r>
          </w:p>
        </w:tc>
        <w:tc>
          <w:tcPr>
            <w:tcW w:w="140" w:type="dxa"/>
            <w:vAlign w:val="bottom"/>
          </w:tcPr>
          <w:p>
            <w:pPr>
              <w:spacing w:after="0"/>
              <w:rPr>
                <w:sz w:val="12"/>
                <w:szCs w:val="12"/>
                <w:color w:val="auto"/>
              </w:rPr>
            </w:pPr>
          </w:p>
        </w:tc>
        <w:tc>
          <w:tcPr>
            <w:tcW w:w="1060" w:type="dxa"/>
            <w:vAlign w:val="bottom"/>
          </w:tcPr>
          <w:p>
            <w:pPr>
              <w:ind w:left="240"/>
              <w:spacing w:after="0" w:line="140" w:lineRule="exact"/>
              <w:rPr>
                <w:sz w:val="20"/>
                <w:szCs w:val="20"/>
                <w:color w:val="auto"/>
              </w:rPr>
            </w:pPr>
            <w:r>
              <w:rPr>
                <w:rFonts w:ascii="Times New Roman" w:cs="Times New Roman" w:eastAsia="Times New Roman" w:hAnsi="Times New Roman"/>
                <w:sz w:val="13"/>
                <w:szCs w:val="13"/>
                <w:color w:val="0000FF"/>
              </w:rPr>
              <w:t>12/30/2022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149,000</w:t>
            </w:r>
          </w:p>
        </w:tc>
        <w:tc>
          <w:tcPr>
            <w:tcW w:w="2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12/30/2032</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40" w:lineRule="exact"/>
              <w:rPr>
                <w:sz w:val="20"/>
                <w:szCs w:val="20"/>
                <w:color w:val="auto"/>
              </w:rPr>
            </w:pPr>
            <w:r>
              <w:rPr>
                <w:rFonts w:ascii="Times New Roman" w:cs="Times New Roman" w:eastAsia="Times New Roman" w:hAnsi="Times New Roman"/>
                <w:sz w:val="13"/>
                <w:szCs w:val="13"/>
                <w:color w:val="0000FF"/>
              </w:rPr>
              <w:t>149,000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35"/>
              <w:spacing w:after="0" w:line="140" w:lineRule="exact"/>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-1918335</wp:posOffset>
            </wp:positionV>
            <wp:extent cx="28575" cy="1923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23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award effective December 31, 2022 (the "Grant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A.</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 effective on the Grant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Arends</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12/30/2022</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A - FOOTNOTE 2</w:t>
      </w:r>
    </w:p>
    <w:p>
      <w:pPr>
        <w:spacing w:after="0" w:line="28" w:lineRule="exact"/>
        <w:rPr>
          <w:sz w:val="20"/>
          <w:szCs w:val="20"/>
          <w:color w:val="auto"/>
        </w:rPr>
      </w:pPr>
    </w:p>
    <w:p>
      <w:pPr>
        <w:ind w:right="2559"/>
        <w:spacing w:after="0" w:line="252" w:lineRule="auto"/>
        <w:rPr>
          <w:sz w:val="20"/>
          <w:szCs w:val="20"/>
          <w:color w:val="auto"/>
        </w:rPr>
      </w:pPr>
      <w:r>
        <w:rPr>
          <w:rFonts w:ascii="Courier New" w:cs="Courier New" w:eastAsia="Courier New" w:hAnsi="Courier New"/>
          <w:sz w:val="16"/>
          <w:szCs w:val="16"/>
          <w:color w:val="auto"/>
        </w:rPr>
        <w:t>Such options and shares of restricted stock shall vest on the fifth annual anniversary of the Grant Date with accelerated vesting upon certain events and subject to continued employment at all such times. With respect to acceleration, (a) 50% of such options and shares of restricted stock shall vest upon attainment of specified revenue, adjusted OIBA or share price targets at the later of eighteen (18) months or performance attainment (2023 revenue (or trailing 12 months revenue) exceeding 120% of year of grant level, 2023 adjusted OIBA (or trailing 12 months adjusted OIBA) exceeding specified multiples of year of grant level, or the Class B Common Stock share price for twenty (20) consecutive trading days exceeding 150% of the year of grant trading day average), and (b) such remaining unvested options and shares of restricted stock shall vest upon attainment of specified revenue, adjusted OIBA or share price targets at</w:t>
      </w:r>
    </w:p>
    <w:p>
      <w:pPr>
        <w:spacing w:after="0" w:line="6" w:lineRule="exact"/>
        <w:rPr>
          <w:sz w:val="20"/>
          <w:szCs w:val="20"/>
          <w:color w:val="auto"/>
        </w:rPr>
      </w:pPr>
    </w:p>
    <w:p>
      <w:pPr>
        <w:jc w:val="both"/>
        <w:ind w:right="2159"/>
        <w:spacing w:after="0" w:line="252" w:lineRule="auto"/>
        <w:rPr>
          <w:sz w:val="20"/>
          <w:szCs w:val="20"/>
          <w:color w:val="auto"/>
        </w:rPr>
      </w:pPr>
      <w:r>
        <w:rPr>
          <w:rFonts w:ascii="Courier New" w:cs="Courier New" w:eastAsia="Courier New" w:hAnsi="Courier New"/>
          <w:sz w:val="16"/>
          <w:szCs w:val="16"/>
          <w:color w:val="auto"/>
        </w:rPr>
        <w:t>the later of thirty (30) months or performance attainment (trailing twelve (12) month revenue exceeding 127% of year of grant level, trailing twelve (12) month adjusted OIBA exceeding specified multiples of year of grant level higher than the initial performance target above, or the Class B Common Stock share</w:t>
      </w:r>
    </w:p>
    <w:p>
      <w:pPr>
        <w:spacing w:after="0" w:line="2"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price for twenty (20) consecutive trading days exceeding 160% of the year of grant</w:t>
      </w:r>
    </w:p>
    <w:p>
      <w:pPr>
        <w:spacing w:after="0" w:line="1" w:lineRule="exact"/>
        <w:rPr>
          <w:sz w:val="20"/>
          <w:szCs w:val="20"/>
          <w:color w:val="auto"/>
        </w:rPr>
      </w:pPr>
    </w:p>
    <w:p>
      <w:pPr>
        <w:ind w:right="2459"/>
        <w:spacing w:after="0" w:line="261" w:lineRule="auto"/>
        <w:rPr>
          <w:sz w:val="20"/>
          <w:szCs w:val="20"/>
          <w:color w:val="auto"/>
        </w:rPr>
      </w:pPr>
      <w:r>
        <w:rPr>
          <w:rFonts w:ascii="Courier New" w:cs="Courier New" w:eastAsia="Courier New" w:hAnsi="Courier New"/>
          <w:sz w:val="17"/>
          <w:szCs w:val="17"/>
          <w:color w:val="auto"/>
        </w:rPr>
        <w:t>trading day average). Such options and shares of restricted stock shall also be subject to the Corporation's standard form of executive officer "Double-Trigger Change in Control Acceleration" of vesting to the extent not otherwise vested upon such event.</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82317" TargetMode="External"/><Relationship Id="rId13" Type="http://schemas.openxmlformats.org/officeDocument/2006/relationships/hyperlink" Target="http://www.sec.gov/cgi-bin/browse-edgar?action=getcompany&amp;CIK=000122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2022-12-30T16:10:46Z</dcterms:created>
  <dcterms:modified xsi:type="dcterms:W3CDTF">2022-12-30T16:10:46Z</dcterms:modified>
</cp:coreProperties>
</file>