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t>As filed with the Securities and Exchange Commission on December 22, 2021</w:t>
      </w:r>
    </w:p>
    <w:p>
      <w:pPr>
        <w:spacing w:after="0" w:line="76" w:lineRule="exact"/>
        <w:rPr>
          <w:sz w:val="24"/>
          <w:szCs w:val="24"/>
          <w:color w:val="auto"/>
        </w:rPr>
      </w:pPr>
    </w:p>
    <w:p>
      <w:pPr>
        <w:jc w:val="right"/>
        <w:spacing w:after="0"/>
        <w:rPr>
          <w:sz w:val="20"/>
          <w:szCs w:val="20"/>
          <w:color w:val="auto"/>
        </w:rPr>
      </w:pPr>
      <w:r>
        <w:rPr>
          <w:rFonts w:ascii="Arial" w:cs="Arial" w:eastAsia="Arial" w:hAnsi="Arial"/>
          <w:sz w:val="17"/>
          <w:szCs w:val="17"/>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149860</wp:posOffset>
            </wp:positionV>
            <wp:extent cx="7138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138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S-8</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REGISTRATION STATEMENT</w:t>
      </w:r>
    </w:p>
    <w:p>
      <w:pPr>
        <w:jc w:val="center"/>
        <w:spacing w:after="0" w:line="230" w:lineRule="auto"/>
        <w:rPr>
          <w:sz w:val="20"/>
          <w:szCs w:val="20"/>
          <w:color w:val="auto"/>
        </w:rPr>
      </w:pPr>
      <w:r>
        <w:rPr>
          <w:rFonts w:ascii="Arial" w:cs="Arial" w:eastAsia="Arial" w:hAnsi="Arial"/>
          <w:sz w:val="21"/>
          <w:szCs w:val="21"/>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135890</wp:posOffset>
            </wp:positionV>
            <wp:extent cx="7138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Marchex,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100" w:type="dxa"/>
            <w:vAlign w:val="bottom"/>
          </w:tcPr>
          <w:p>
            <w:pPr>
              <w:jc w:val="center"/>
              <w:ind w:left="1448"/>
              <w:spacing w:after="0"/>
              <w:rPr>
                <w:sz w:val="20"/>
                <w:szCs w:val="20"/>
                <w:color w:val="auto"/>
              </w:rPr>
            </w:pPr>
            <w:r>
              <w:rPr>
                <w:rFonts w:ascii="Arial" w:cs="Arial" w:eastAsia="Arial" w:hAnsi="Arial"/>
                <w:sz w:val="17"/>
                <w:szCs w:val="17"/>
                <w:b w:val="1"/>
                <w:bCs w:val="1"/>
                <w:color w:val="auto"/>
                <w:w w:val="93"/>
              </w:rPr>
              <w:t>Delaware</w:t>
            </w:r>
          </w:p>
        </w:tc>
        <w:tc>
          <w:tcPr>
            <w:tcW w:w="7140" w:type="dxa"/>
            <w:vAlign w:val="bottom"/>
          </w:tcPr>
          <w:p>
            <w:pPr>
              <w:jc w:val="center"/>
              <w:ind w:left="1684"/>
              <w:spacing w:after="0"/>
              <w:rPr>
                <w:sz w:val="20"/>
                <w:szCs w:val="20"/>
                <w:color w:val="auto"/>
              </w:rPr>
            </w:pPr>
            <w:r>
              <w:rPr>
                <w:rFonts w:ascii="Arial" w:cs="Arial" w:eastAsia="Arial" w:hAnsi="Arial"/>
                <w:sz w:val="17"/>
                <w:szCs w:val="17"/>
                <w:b w:val="1"/>
                <w:bCs w:val="1"/>
                <w:color w:val="auto"/>
                <w:w w:val="90"/>
              </w:rPr>
              <w:t>35-2194038</w:t>
            </w:r>
          </w:p>
        </w:tc>
      </w:tr>
      <w:tr>
        <w:trPr>
          <w:trHeight w:val="142"/>
        </w:trPr>
        <w:tc>
          <w:tcPr>
            <w:tcW w:w="4100" w:type="dxa"/>
            <w:vAlign w:val="bottom"/>
          </w:tcPr>
          <w:p>
            <w:pPr>
              <w:jc w:val="center"/>
              <w:ind w:left="1468"/>
              <w:spacing w:after="0" w:line="142" w:lineRule="exact"/>
              <w:rPr>
                <w:sz w:val="20"/>
                <w:szCs w:val="20"/>
                <w:color w:val="auto"/>
              </w:rPr>
            </w:pPr>
            <w:r>
              <w:rPr>
                <w:rFonts w:ascii="Arial" w:cs="Arial" w:eastAsia="Arial" w:hAnsi="Arial"/>
                <w:sz w:val="13"/>
                <w:szCs w:val="13"/>
                <w:b w:val="1"/>
                <w:bCs w:val="1"/>
                <w:color w:val="auto"/>
                <w:w w:val="89"/>
              </w:rPr>
              <w:t>(State or other jurisdiction of</w:t>
            </w:r>
          </w:p>
        </w:tc>
        <w:tc>
          <w:tcPr>
            <w:tcW w:w="7140" w:type="dxa"/>
            <w:vAlign w:val="bottom"/>
          </w:tcPr>
          <w:p>
            <w:pPr>
              <w:jc w:val="center"/>
              <w:ind w:left="1684"/>
              <w:spacing w:after="0" w:line="142" w:lineRule="exact"/>
              <w:rPr>
                <w:sz w:val="20"/>
                <w:szCs w:val="20"/>
                <w:color w:val="auto"/>
              </w:rPr>
            </w:pPr>
            <w:r>
              <w:rPr>
                <w:rFonts w:ascii="Arial" w:cs="Arial" w:eastAsia="Arial" w:hAnsi="Arial"/>
                <w:sz w:val="13"/>
                <w:szCs w:val="13"/>
                <w:b w:val="1"/>
                <w:bCs w:val="1"/>
                <w:color w:val="auto"/>
                <w:w w:val="94"/>
              </w:rPr>
              <w:t>(I.R.S. Employer</w:t>
            </w:r>
          </w:p>
        </w:tc>
      </w:tr>
      <w:tr>
        <w:trPr>
          <w:trHeight w:val="136"/>
        </w:trPr>
        <w:tc>
          <w:tcPr>
            <w:tcW w:w="4100" w:type="dxa"/>
            <w:vAlign w:val="bottom"/>
          </w:tcPr>
          <w:p>
            <w:pPr>
              <w:jc w:val="center"/>
              <w:ind w:left="1468"/>
              <w:spacing w:after="0" w:line="136" w:lineRule="exact"/>
              <w:rPr>
                <w:sz w:val="20"/>
                <w:szCs w:val="20"/>
                <w:color w:val="auto"/>
              </w:rPr>
            </w:pPr>
            <w:r>
              <w:rPr>
                <w:rFonts w:ascii="Arial" w:cs="Arial" w:eastAsia="Arial" w:hAnsi="Arial"/>
                <w:sz w:val="13"/>
                <w:szCs w:val="13"/>
                <w:b w:val="1"/>
                <w:bCs w:val="1"/>
                <w:color w:val="auto"/>
                <w:w w:val="90"/>
              </w:rPr>
              <w:t>incorporation or organization)</w:t>
            </w:r>
          </w:p>
        </w:tc>
        <w:tc>
          <w:tcPr>
            <w:tcW w:w="7140" w:type="dxa"/>
            <w:vAlign w:val="bottom"/>
          </w:tcPr>
          <w:p>
            <w:pPr>
              <w:jc w:val="center"/>
              <w:ind w:left="1684"/>
              <w:spacing w:after="0" w:line="136" w:lineRule="exact"/>
              <w:rPr>
                <w:sz w:val="20"/>
                <w:szCs w:val="20"/>
                <w:color w:val="auto"/>
              </w:rPr>
            </w:pPr>
            <w:r>
              <w:rPr>
                <w:rFonts w:ascii="Arial" w:cs="Arial" w:eastAsia="Arial" w:hAnsi="Arial"/>
                <w:sz w:val="13"/>
                <w:szCs w:val="13"/>
                <w:b w:val="1"/>
                <w:bCs w:val="1"/>
                <w:color w:val="auto"/>
                <w:w w:val="92"/>
              </w:rPr>
              <w:t>Identification No.)</w:t>
            </w:r>
          </w:p>
        </w:tc>
      </w:tr>
      <w:tr>
        <w:trPr>
          <w:trHeight w:val="207"/>
        </w:trPr>
        <w:tc>
          <w:tcPr>
            <w:tcW w:w="4100" w:type="dxa"/>
            <w:vAlign w:val="bottom"/>
          </w:tcPr>
          <w:p>
            <w:pPr>
              <w:spacing w:after="0"/>
              <w:rPr>
                <w:sz w:val="17"/>
                <w:szCs w:val="17"/>
                <w:color w:val="auto"/>
              </w:rPr>
            </w:pPr>
          </w:p>
        </w:tc>
        <w:tc>
          <w:tcPr>
            <w:tcW w:w="7140" w:type="dxa"/>
            <w:vAlign w:val="bottom"/>
          </w:tcPr>
          <w:p>
            <w:pPr>
              <w:jc w:val="center"/>
              <w:ind w:right="4004"/>
              <w:spacing w:after="0"/>
              <w:rPr>
                <w:sz w:val="20"/>
                <w:szCs w:val="20"/>
                <w:color w:val="auto"/>
              </w:rPr>
            </w:pPr>
            <w:r>
              <w:rPr>
                <w:rFonts w:ascii="Arial" w:cs="Arial" w:eastAsia="Arial" w:hAnsi="Arial"/>
                <w:sz w:val="17"/>
                <w:szCs w:val="17"/>
                <w:b w:val="1"/>
                <w:bCs w:val="1"/>
                <w:color w:val="auto"/>
                <w:w w:val="94"/>
              </w:rPr>
              <w:t>Marchex, Inc.</w:t>
            </w:r>
          </w:p>
        </w:tc>
      </w:tr>
      <w:tr>
        <w:trPr>
          <w:trHeight w:val="207"/>
        </w:trPr>
        <w:tc>
          <w:tcPr>
            <w:tcW w:w="4100" w:type="dxa"/>
            <w:vAlign w:val="bottom"/>
          </w:tcPr>
          <w:p>
            <w:pPr>
              <w:spacing w:after="0"/>
              <w:rPr>
                <w:sz w:val="17"/>
                <w:szCs w:val="17"/>
                <w:color w:val="auto"/>
              </w:rPr>
            </w:pPr>
          </w:p>
        </w:tc>
        <w:tc>
          <w:tcPr>
            <w:tcW w:w="7140" w:type="dxa"/>
            <w:vAlign w:val="bottom"/>
          </w:tcPr>
          <w:p>
            <w:pPr>
              <w:jc w:val="center"/>
              <w:ind w:right="4024"/>
              <w:spacing w:after="0"/>
              <w:rPr>
                <w:sz w:val="20"/>
                <w:szCs w:val="20"/>
                <w:color w:val="auto"/>
              </w:rPr>
            </w:pPr>
            <w:r>
              <w:rPr>
                <w:rFonts w:ascii="Arial" w:cs="Arial" w:eastAsia="Arial" w:hAnsi="Arial"/>
                <w:sz w:val="17"/>
                <w:szCs w:val="17"/>
                <w:b w:val="1"/>
                <w:bCs w:val="1"/>
                <w:color w:val="auto"/>
                <w:w w:val="91"/>
              </w:rPr>
              <w:t>520 Pike Street, Suite 2000</w:t>
            </w:r>
          </w:p>
        </w:tc>
      </w:tr>
      <w:tr>
        <w:trPr>
          <w:trHeight w:val="212"/>
        </w:trPr>
        <w:tc>
          <w:tcPr>
            <w:tcW w:w="4100" w:type="dxa"/>
            <w:vAlign w:val="bottom"/>
          </w:tcPr>
          <w:p>
            <w:pPr>
              <w:spacing w:after="0"/>
              <w:rPr>
                <w:sz w:val="18"/>
                <w:szCs w:val="18"/>
                <w:color w:val="auto"/>
              </w:rPr>
            </w:pPr>
          </w:p>
        </w:tc>
        <w:tc>
          <w:tcPr>
            <w:tcW w:w="7140" w:type="dxa"/>
            <w:vAlign w:val="bottom"/>
          </w:tcPr>
          <w:p>
            <w:pPr>
              <w:jc w:val="center"/>
              <w:ind w:right="4004"/>
              <w:spacing w:after="0"/>
              <w:rPr>
                <w:sz w:val="20"/>
                <w:szCs w:val="20"/>
                <w:color w:val="auto"/>
              </w:rPr>
            </w:pPr>
            <w:r>
              <w:rPr>
                <w:rFonts w:ascii="Arial" w:cs="Arial" w:eastAsia="Arial" w:hAnsi="Arial"/>
                <w:sz w:val="17"/>
                <w:szCs w:val="17"/>
                <w:b w:val="1"/>
                <w:bCs w:val="1"/>
                <w:color w:val="auto"/>
                <w:w w:val="92"/>
              </w:rPr>
              <w:t>Seattle, WA 98101</w:t>
            </w:r>
          </w:p>
        </w:tc>
      </w:tr>
      <w:tr>
        <w:trPr>
          <w:trHeight w:val="167"/>
        </w:trPr>
        <w:tc>
          <w:tcPr>
            <w:tcW w:w="4100" w:type="dxa"/>
            <w:vAlign w:val="bottom"/>
          </w:tcPr>
          <w:p>
            <w:pPr>
              <w:spacing w:after="0"/>
              <w:rPr>
                <w:sz w:val="14"/>
                <w:szCs w:val="14"/>
                <w:color w:val="auto"/>
              </w:rPr>
            </w:pPr>
          </w:p>
        </w:tc>
        <w:tc>
          <w:tcPr>
            <w:tcW w:w="7140" w:type="dxa"/>
            <w:vAlign w:val="bottom"/>
          </w:tcPr>
          <w:p>
            <w:pPr>
              <w:jc w:val="center"/>
              <w:ind w:right="4024"/>
              <w:spacing w:after="0"/>
              <w:rPr>
                <w:sz w:val="20"/>
                <w:szCs w:val="20"/>
                <w:color w:val="auto"/>
              </w:rPr>
            </w:pPr>
            <w:r>
              <w:rPr>
                <w:rFonts w:ascii="Arial" w:cs="Arial" w:eastAsia="Arial" w:hAnsi="Arial"/>
                <w:sz w:val="13"/>
                <w:szCs w:val="13"/>
                <w:b w:val="1"/>
                <w:bCs w:val="1"/>
                <w:color w:val="auto"/>
                <w:w w:val="89"/>
              </w:rPr>
              <w:t>(Address of Principal Executive Offices)</w:t>
            </w:r>
          </w:p>
        </w:tc>
      </w:tr>
      <w:tr>
        <w:trPr>
          <w:trHeight w:val="220"/>
        </w:trPr>
        <w:tc>
          <w:tcPr>
            <w:tcW w:w="4100" w:type="dxa"/>
            <w:vAlign w:val="bottom"/>
            <w:tcBorders>
              <w:bottom w:val="single" w:sz="8" w:color="auto"/>
            </w:tcBorders>
          </w:tcPr>
          <w:p>
            <w:pPr>
              <w:spacing w:after="0"/>
              <w:rPr>
                <w:sz w:val="19"/>
                <w:szCs w:val="19"/>
                <w:color w:val="auto"/>
              </w:rPr>
            </w:pPr>
          </w:p>
        </w:tc>
        <w:tc>
          <w:tcPr>
            <w:tcW w:w="7140" w:type="dxa"/>
            <w:vAlign w:val="bottom"/>
            <w:tcBorders>
              <w:bottom w:val="single" w:sz="8" w:color="auto"/>
            </w:tcBorders>
          </w:tcPr>
          <w:p>
            <w:pPr>
              <w:spacing w:after="0"/>
              <w:rPr>
                <w:sz w:val="19"/>
                <w:szCs w:val="19"/>
                <w:color w:val="auto"/>
              </w:rPr>
            </w:pPr>
          </w:p>
        </w:tc>
      </w:tr>
      <w:tr>
        <w:trPr>
          <w:trHeight w:val="251"/>
        </w:trPr>
        <w:tc>
          <w:tcPr>
            <w:tcW w:w="4100" w:type="dxa"/>
            <w:vAlign w:val="bottom"/>
          </w:tcPr>
          <w:p>
            <w:pPr>
              <w:spacing w:after="0"/>
              <w:rPr>
                <w:sz w:val="21"/>
                <w:szCs w:val="21"/>
                <w:color w:val="auto"/>
              </w:rPr>
            </w:pPr>
          </w:p>
        </w:tc>
        <w:tc>
          <w:tcPr>
            <w:tcW w:w="7140" w:type="dxa"/>
            <w:vAlign w:val="bottom"/>
          </w:tcPr>
          <w:p>
            <w:pPr>
              <w:jc w:val="center"/>
              <w:ind w:right="4004"/>
              <w:spacing w:after="0"/>
              <w:rPr>
                <w:sz w:val="20"/>
                <w:szCs w:val="20"/>
                <w:color w:val="auto"/>
              </w:rPr>
            </w:pPr>
            <w:r>
              <w:rPr>
                <w:rFonts w:ascii="Arial" w:cs="Arial" w:eastAsia="Arial" w:hAnsi="Arial"/>
                <w:sz w:val="17"/>
                <w:szCs w:val="17"/>
                <w:b w:val="1"/>
                <w:bCs w:val="1"/>
                <w:color w:val="auto"/>
                <w:w w:val="91"/>
              </w:rPr>
              <w:t>2021 Stock Incentive Plan</w:t>
            </w:r>
          </w:p>
        </w:tc>
      </w:tr>
      <w:tr>
        <w:trPr>
          <w:trHeight w:val="167"/>
        </w:trPr>
        <w:tc>
          <w:tcPr>
            <w:tcW w:w="4100" w:type="dxa"/>
            <w:vAlign w:val="bottom"/>
          </w:tcPr>
          <w:p>
            <w:pPr>
              <w:spacing w:after="0"/>
              <w:rPr>
                <w:sz w:val="14"/>
                <w:szCs w:val="14"/>
                <w:color w:val="auto"/>
              </w:rPr>
            </w:pPr>
          </w:p>
        </w:tc>
        <w:tc>
          <w:tcPr>
            <w:tcW w:w="7140" w:type="dxa"/>
            <w:vAlign w:val="bottom"/>
          </w:tcPr>
          <w:p>
            <w:pPr>
              <w:jc w:val="center"/>
              <w:ind w:right="4004"/>
              <w:spacing w:after="0"/>
              <w:rPr>
                <w:sz w:val="20"/>
                <w:szCs w:val="20"/>
                <w:color w:val="auto"/>
              </w:rPr>
            </w:pPr>
            <w:r>
              <w:rPr>
                <w:rFonts w:ascii="Arial" w:cs="Arial" w:eastAsia="Arial" w:hAnsi="Arial"/>
                <w:sz w:val="13"/>
                <w:szCs w:val="13"/>
                <w:b w:val="1"/>
                <w:bCs w:val="1"/>
                <w:color w:val="auto"/>
                <w:w w:val="92"/>
              </w:rPr>
              <w:t>(Full title of the plan)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131445</wp:posOffset>
            </wp:positionV>
            <wp:extent cx="7138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Francis J. Feeney</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Secretary</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Marchex, Inc.</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520 Pike Street, Suite 2000</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Seattle, WA 98101</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(206) 331-3300</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(Name and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135890</wp:posOffset>
            </wp:positionV>
            <wp:extent cx="7138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7"/>
          <w:szCs w:val="17"/>
          <w:b w:val="1"/>
          <w:bCs w:val="1"/>
          <w:i w:val="1"/>
          <w:iCs w:val="1"/>
          <w:color w:val="auto"/>
        </w:rPr>
        <w:t>Copies to:</w:t>
      </w:r>
    </w:p>
    <w:p>
      <w:pPr>
        <w:spacing w:after="0" w:line="22" w:lineRule="exact"/>
        <w:rPr>
          <w:sz w:val="24"/>
          <w:szCs w:val="24"/>
          <w:color w:val="auto"/>
        </w:rPr>
      </w:pPr>
    </w:p>
    <w:p>
      <w:pPr>
        <w:ind w:left="4640"/>
        <w:spacing w:after="0"/>
        <w:rPr>
          <w:sz w:val="20"/>
          <w:szCs w:val="20"/>
          <w:color w:val="auto"/>
        </w:rPr>
      </w:pPr>
      <w:r>
        <w:rPr>
          <w:rFonts w:ascii="Arial" w:cs="Arial" w:eastAsia="Arial" w:hAnsi="Arial"/>
          <w:sz w:val="17"/>
          <w:szCs w:val="17"/>
          <w:b w:val="1"/>
          <w:bCs w:val="1"/>
          <w:color w:val="auto"/>
        </w:rPr>
        <w:t>Andrew D. Ledbetter, Esq.</w:t>
      </w:r>
    </w:p>
    <w:p>
      <w:pPr>
        <w:spacing w:after="0" w:line="11" w:lineRule="exact"/>
        <w:rPr>
          <w:sz w:val="24"/>
          <w:szCs w:val="24"/>
          <w:color w:val="auto"/>
        </w:rPr>
      </w:pPr>
    </w:p>
    <w:p>
      <w:pPr>
        <w:ind w:left="4840"/>
        <w:spacing w:after="0"/>
        <w:rPr>
          <w:sz w:val="20"/>
          <w:szCs w:val="20"/>
          <w:color w:val="auto"/>
        </w:rPr>
      </w:pPr>
      <w:r>
        <w:rPr>
          <w:rFonts w:ascii="Arial" w:cs="Arial" w:eastAsia="Arial" w:hAnsi="Arial"/>
          <w:sz w:val="17"/>
          <w:szCs w:val="17"/>
          <w:b w:val="1"/>
          <w:bCs w:val="1"/>
          <w:color w:val="auto"/>
        </w:rPr>
        <w:t>DLA Piper LLP (US)</w:t>
      </w:r>
    </w:p>
    <w:p>
      <w:pPr>
        <w:spacing w:after="0" w:line="11" w:lineRule="exact"/>
        <w:rPr>
          <w:sz w:val="24"/>
          <w:szCs w:val="24"/>
          <w:color w:val="auto"/>
        </w:rPr>
      </w:pPr>
    </w:p>
    <w:p>
      <w:pPr>
        <w:ind w:left="4580"/>
        <w:spacing w:after="0"/>
        <w:rPr>
          <w:sz w:val="20"/>
          <w:szCs w:val="20"/>
          <w:color w:val="auto"/>
        </w:rPr>
      </w:pPr>
      <w:r>
        <w:rPr>
          <w:rFonts w:ascii="Arial" w:cs="Arial" w:eastAsia="Arial" w:hAnsi="Arial"/>
          <w:sz w:val="17"/>
          <w:szCs w:val="17"/>
          <w:b w:val="1"/>
          <w:bCs w:val="1"/>
          <w:color w:val="auto"/>
        </w:rPr>
        <w:t>701 Fifth Avenue, Suite 6900</w:t>
      </w:r>
    </w:p>
    <w:p>
      <w:pPr>
        <w:spacing w:after="0" w:line="11" w:lineRule="exact"/>
        <w:rPr>
          <w:sz w:val="24"/>
          <w:szCs w:val="24"/>
          <w:color w:val="auto"/>
        </w:rPr>
      </w:pPr>
    </w:p>
    <w:p>
      <w:pPr>
        <w:ind w:left="4960"/>
        <w:spacing w:after="0"/>
        <w:rPr>
          <w:sz w:val="20"/>
          <w:szCs w:val="20"/>
          <w:color w:val="auto"/>
        </w:rPr>
      </w:pPr>
      <w:r>
        <w:rPr>
          <w:rFonts w:ascii="Arial" w:cs="Arial" w:eastAsia="Arial" w:hAnsi="Arial"/>
          <w:sz w:val="17"/>
          <w:szCs w:val="17"/>
          <w:b w:val="1"/>
          <w:bCs w:val="1"/>
          <w:color w:val="auto"/>
        </w:rPr>
        <w:t>Seattle, WA 98104</w:t>
      </w:r>
    </w:p>
    <w:p>
      <w:pPr>
        <w:spacing w:after="0" w:line="11" w:lineRule="exact"/>
        <w:rPr>
          <w:sz w:val="24"/>
          <w:szCs w:val="24"/>
          <w:color w:val="auto"/>
        </w:rPr>
      </w:pPr>
    </w:p>
    <w:p>
      <w:pPr>
        <w:ind w:left="5080"/>
        <w:spacing w:after="0"/>
        <w:rPr>
          <w:sz w:val="20"/>
          <w:szCs w:val="20"/>
          <w:color w:val="auto"/>
        </w:rPr>
      </w:pPr>
      <w:r>
        <w:rPr>
          <w:rFonts w:ascii="Arial" w:cs="Arial" w:eastAsia="Arial" w:hAnsi="Arial"/>
          <w:sz w:val="17"/>
          <w:szCs w:val="17"/>
          <w:b w:val="1"/>
          <w:bCs w:val="1"/>
          <w:color w:val="auto"/>
        </w:rPr>
        <w:t>(206) 839-4845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7138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13" w:lineRule="exact"/>
        <w:rPr>
          <w:sz w:val="24"/>
          <w:szCs w:val="24"/>
          <w:color w:val="auto"/>
        </w:rPr>
      </w:pPr>
    </w:p>
    <w:p>
      <w:pPr>
        <w:jc w:val="both"/>
        <w:ind w:right="100"/>
        <w:spacing w:after="0" w:line="26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172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680" w:type="dxa"/>
            <w:vAlign w:val="bottom"/>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5460" w:type="dxa"/>
            <w:vAlign w:val="bottom"/>
          </w:tcPr>
          <w:p>
            <w:pPr>
              <w:ind w:left="3340"/>
              <w:spacing w:after="0"/>
              <w:rPr>
                <w:sz w:val="20"/>
                <w:szCs w:val="20"/>
                <w:color w:val="auto"/>
              </w:rPr>
            </w:pPr>
            <w:r>
              <w:rPr>
                <w:rFonts w:ascii="Arial" w:cs="Arial" w:eastAsia="Arial" w:hAnsi="Arial"/>
                <w:sz w:val="17"/>
                <w:szCs w:val="17"/>
                <w:color w:val="auto"/>
              </w:rPr>
              <w:t>Accelerated filer</w:t>
            </w:r>
          </w:p>
        </w:tc>
        <w:tc>
          <w:tcPr>
            <w:tcW w:w="380" w:type="dxa"/>
            <w:vAlign w:val="bottom"/>
          </w:tcPr>
          <w:p>
            <w:pPr>
              <w:ind w:left="2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439"/>
        </w:trPr>
        <w:tc>
          <w:tcPr>
            <w:tcW w:w="1720" w:type="dxa"/>
            <w:vAlign w:val="bottom"/>
          </w:tcPr>
          <w:p>
            <w:pPr>
              <w:spacing w:after="0"/>
              <w:rPr>
                <w:sz w:val="20"/>
                <w:szCs w:val="20"/>
                <w:color w:val="auto"/>
              </w:rPr>
            </w:pPr>
            <w:r>
              <w:rPr>
                <w:rFonts w:ascii="Arial" w:cs="Arial" w:eastAsia="Arial" w:hAnsi="Arial"/>
                <w:sz w:val="17"/>
                <w:szCs w:val="17"/>
                <w:color w:val="auto"/>
              </w:rPr>
              <w:t>Non-accelerated filer</w:t>
            </w:r>
          </w:p>
        </w:tc>
        <w:tc>
          <w:tcPr>
            <w:tcW w:w="3680" w:type="dxa"/>
            <w:vAlign w:val="bottom"/>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5460" w:type="dxa"/>
            <w:vAlign w:val="bottom"/>
          </w:tcPr>
          <w:p>
            <w:pPr>
              <w:ind w:left="3340"/>
              <w:spacing w:after="0"/>
              <w:rPr>
                <w:sz w:val="20"/>
                <w:szCs w:val="20"/>
                <w:color w:val="auto"/>
              </w:rPr>
            </w:pPr>
            <w:r>
              <w:rPr>
                <w:rFonts w:ascii="Arial" w:cs="Arial" w:eastAsia="Arial" w:hAnsi="Arial"/>
                <w:sz w:val="17"/>
                <w:szCs w:val="17"/>
                <w:color w:val="auto"/>
              </w:rPr>
              <w:t>Smaller reporting company</w:t>
            </w:r>
          </w:p>
        </w:tc>
        <w:tc>
          <w:tcPr>
            <w:tcW w:w="380" w:type="dxa"/>
            <w:vAlign w:val="bottom"/>
          </w:tcPr>
          <w:p>
            <w:pPr>
              <w:ind w:left="2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439"/>
        </w:trPr>
        <w:tc>
          <w:tcPr>
            <w:tcW w:w="17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460" w:type="dxa"/>
            <w:vAlign w:val="bottom"/>
          </w:tcPr>
          <w:p>
            <w:pPr>
              <w:ind w:left="3340"/>
              <w:spacing w:after="0"/>
              <w:rPr>
                <w:sz w:val="20"/>
                <w:szCs w:val="20"/>
                <w:color w:val="auto"/>
              </w:rPr>
            </w:pPr>
            <w:r>
              <w:rPr>
                <w:rFonts w:ascii="Arial" w:cs="Arial" w:eastAsia="Arial" w:hAnsi="Arial"/>
                <w:sz w:val="17"/>
                <w:szCs w:val="17"/>
                <w:color w:val="auto"/>
              </w:rPr>
              <w:t>Emerging growth company</w:t>
            </w:r>
          </w:p>
        </w:tc>
        <w:tc>
          <w:tcPr>
            <w:tcW w:w="380" w:type="dxa"/>
            <w:vAlign w:val="bottom"/>
          </w:tcPr>
          <w:p>
            <w:pPr>
              <w:ind w:left="2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89" w:lineRule="exact"/>
        <w:rPr>
          <w:sz w:val="24"/>
          <w:szCs w:val="24"/>
          <w:color w:val="auto"/>
        </w:rPr>
      </w:pPr>
    </w:p>
    <w:p>
      <w:pPr>
        <w:ind w:right="420" w:firstLine="43"/>
        <w:spacing w:after="0" w:line="280"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33655</wp:posOffset>
            </wp:positionV>
            <wp:extent cx="717994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9945" cy="41910"/>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21"/>
          <w:szCs w:val="21"/>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7138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0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273685</wp:posOffset>
            </wp:positionV>
            <wp:extent cx="71380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880" w:type="dxa"/>
            <w:vAlign w:val="bottom"/>
            <w:tcBorders>
              <w:top w:val="single" w:sz="8" w:color="auto"/>
              <w:right w:val="single" w:sz="8" w:color="auto"/>
            </w:tcBorders>
          </w:tcPr>
          <w:p>
            <w:pPr>
              <w:spacing w:after="0"/>
              <w:rPr>
                <w:sz w:val="12"/>
                <w:szCs w:val="12"/>
                <w:color w:val="auto"/>
              </w:rPr>
            </w:pPr>
          </w:p>
        </w:tc>
        <w:tc>
          <w:tcPr>
            <w:tcW w:w="2220" w:type="dxa"/>
            <w:vAlign w:val="bottom"/>
            <w:tcBorders>
              <w:top w:val="single" w:sz="8" w:color="auto"/>
              <w:right w:val="single" w:sz="8" w:color="auto"/>
            </w:tcBorders>
          </w:tcPr>
          <w:p>
            <w:pPr>
              <w:spacing w:after="0"/>
              <w:rPr>
                <w:sz w:val="12"/>
                <w:szCs w:val="12"/>
                <w:color w:val="auto"/>
              </w:rPr>
            </w:pPr>
          </w:p>
        </w:tc>
        <w:tc>
          <w:tcPr>
            <w:tcW w:w="1380" w:type="dxa"/>
            <w:vAlign w:val="bottom"/>
            <w:tcBorders>
              <w:top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6"/>
              </w:rPr>
              <w:t>Proposed</w:t>
            </w:r>
          </w:p>
        </w:tc>
        <w:tc>
          <w:tcPr>
            <w:tcW w:w="1400" w:type="dxa"/>
            <w:vAlign w:val="bottom"/>
            <w:tcBorders>
              <w:top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6"/>
              </w:rPr>
              <w:t>Proposed</w:t>
            </w:r>
          </w:p>
        </w:tc>
        <w:tc>
          <w:tcPr>
            <w:tcW w:w="13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8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93"/>
              </w:rPr>
              <w:t>Amount</w:t>
            </w:r>
          </w:p>
        </w:tc>
        <w:tc>
          <w:tcPr>
            <w:tcW w:w="138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92"/>
              </w:rPr>
              <w:t>maximum</w:t>
            </w:r>
          </w:p>
        </w:tc>
        <w:tc>
          <w:tcPr>
            <w:tcW w:w="140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92"/>
              </w:rPr>
              <w:t>maximum</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8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87"/>
              </w:rPr>
              <w:t>Title of each class of</w:t>
            </w:r>
          </w:p>
        </w:tc>
        <w:tc>
          <w:tcPr>
            <w:tcW w:w="222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83"/>
              </w:rPr>
              <w:t>to be</w:t>
            </w:r>
          </w:p>
        </w:tc>
        <w:tc>
          <w:tcPr>
            <w:tcW w:w="138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91"/>
              </w:rPr>
              <w:t>offering price</w:t>
            </w:r>
          </w:p>
        </w:tc>
        <w:tc>
          <w:tcPr>
            <w:tcW w:w="140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83"/>
              </w:rPr>
              <w:t>aggregate</w:t>
            </w:r>
          </w:p>
        </w:tc>
        <w:tc>
          <w:tcPr>
            <w:tcW w:w="136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89"/>
              </w:rPr>
              <w:t>Amount of</w:t>
            </w:r>
          </w:p>
        </w:tc>
        <w:tc>
          <w:tcPr>
            <w:tcW w:w="0" w:type="dxa"/>
            <w:vAlign w:val="bottom"/>
          </w:tcPr>
          <w:p>
            <w:pPr>
              <w:spacing w:after="0"/>
              <w:rPr>
                <w:sz w:val="1"/>
                <w:szCs w:val="1"/>
                <w:color w:val="auto"/>
              </w:rPr>
            </w:pPr>
          </w:p>
        </w:tc>
      </w:tr>
      <w:tr>
        <w:trPr>
          <w:trHeight w:val="155"/>
        </w:trPr>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to be registered</w:t>
            </w:r>
          </w:p>
        </w:tc>
        <w:tc>
          <w:tcPr>
            <w:tcW w:w="2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Registered (1)</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per share</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offering price</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registration fee</w:t>
            </w:r>
          </w:p>
        </w:tc>
        <w:tc>
          <w:tcPr>
            <w:tcW w:w="0" w:type="dxa"/>
            <w:vAlign w:val="bottom"/>
          </w:tcPr>
          <w:p>
            <w:pPr>
              <w:spacing w:after="0"/>
              <w:rPr>
                <w:sz w:val="1"/>
                <w:szCs w:val="1"/>
                <w:color w:val="auto"/>
              </w:rPr>
            </w:pPr>
          </w:p>
        </w:tc>
      </w:tr>
      <w:tr>
        <w:trPr>
          <w:trHeight w:val="275"/>
        </w:trPr>
        <w:tc>
          <w:tcPr>
            <w:tcW w:w="488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Class B Common Stock, $0.01 par value</w:t>
            </w:r>
          </w:p>
        </w:tc>
        <w:tc>
          <w:tcPr>
            <w:tcW w:w="2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87"/>
              </w:rPr>
              <w:t>3,500,000 Shares</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3"/>
              </w:rPr>
              <w:t>$2.61</w:t>
            </w:r>
            <w:r>
              <w:rPr>
                <w:rFonts w:ascii="Arial" w:cs="Arial" w:eastAsia="Arial" w:hAnsi="Arial"/>
                <w:sz w:val="14"/>
                <w:szCs w:val="14"/>
                <w:color w:val="auto"/>
                <w:w w:val="93"/>
              </w:rPr>
              <w:t>(2)</w:t>
            </w: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89"/>
              </w:rPr>
              <w:t>$9,135,000</w:t>
            </w:r>
          </w:p>
        </w:tc>
        <w:tc>
          <w:tcPr>
            <w:tcW w:w="1360" w:type="dxa"/>
            <w:vAlign w:val="bottom"/>
            <w:vMerge w:val="restart"/>
          </w:tcPr>
          <w:p>
            <w:pPr>
              <w:jc w:val="center"/>
              <w:spacing w:after="0"/>
              <w:rPr>
                <w:sz w:val="20"/>
                <w:szCs w:val="20"/>
                <w:color w:val="auto"/>
              </w:rPr>
            </w:pPr>
            <w:r>
              <w:rPr>
                <w:rFonts w:ascii="Arial" w:cs="Arial" w:eastAsia="Arial" w:hAnsi="Arial"/>
                <w:sz w:val="17"/>
                <w:szCs w:val="17"/>
                <w:color w:val="auto"/>
                <w:w w:val="91"/>
              </w:rPr>
              <w:t>$846.81</w:t>
            </w:r>
          </w:p>
        </w:tc>
        <w:tc>
          <w:tcPr>
            <w:tcW w:w="0" w:type="dxa"/>
            <w:vAlign w:val="bottom"/>
          </w:tcPr>
          <w:p>
            <w:pPr>
              <w:spacing w:after="0"/>
              <w:rPr>
                <w:sz w:val="1"/>
                <w:szCs w:val="1"/>
                <w:color w:val="auto"/>
              </w:rPr>
            </w:pPr>
          </w:p>
        </w:tc>
      </w:tr>
      <w:tr>
        <w:trPr>
          <w:trHeight w:val="91"/>
        </w:trPr>
        <w:tc>
          <w:tcPr>
            <w:tcW w:w="4880" w:type="dxa"/>
            <w:vAlign w:val="bottom"/>
            <w:tcBorders>
              <w:bottom w:val="single" w:sz="8" w:color="auto"/>
              <w:right w:val="single" w:sz="8" w:color="auto"/>
            </w:tcBorders>
          </w:tcPr>
          <w:p>
            <w:pPr>
              <w:spacing w:after="0"/>
              <w:rPr>
                <w:sz w:val="7"/>
                <w:szCs w:val="7"/>
                <w:color w:val="auto"/>
              </w:rPr>
            </w:pPr>
          </w:p>
        </w:tc>
        <w:tc>
          <w:tcPr>
            <w:tcW w:w="2220" w:type="dxa"/>
            <w:vAlign w:val="bottom"/>
            <w:tcBorders>
              <w:bottom w:val="single" w:sz="8" w:color="auto"/>
              <w:right w:val="single" w:sz="8" w:color="auto"/>
            </w:tcBorders>
            <w:vMerge w:val="continue"/>
          </w:tcPr>
          <w:p>
            <w:pPr>
              <w:spacing w:after="0"/>
              <w:rPr>
                <w:sz w:val="7"/>
                <w:szCs w:val="7"/>
                <w:color w:val="auto"/>
              </w:rPr>
            </w:pPr>
          </w:p>
        </w:tc>
        <w:tc>
          <w:tcPr>
            <w:tcW w:w="1380" w:type="dxa"/>
            <w:vAlign w:val="bottom"/>
            <w:tcBorders>
              <w:bottom w:val="single" w:sz="8" w:color="auto"/>
              <w:right w:val="single" w:sz="8" w:color="auto"/>
            </w:tcBorders>
            <w:vMerge w:val="continue"/>
          </w:tcPr>
          <w:p>
            <w:pPr>
              <w:spacing w:after="0"/>
              <w:rPr>
                <w:sz w:val="7"/>
                <w:szCs w:val="7"/>
                <w:color w:val="auto"/>
              </w:rPr>
            </w:pPr>
          </w:p>
        </w:tc>
        <w:tc>
          <w:tcPr>
            <w:tcW w:w="140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488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TOTAL</w:t>
            </w:r>
          </w:p>
        </w:tc>
        <w:tc>
          <w:tcPr>
            <w:tcW w:w="2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87"/>
              </w:rPr>
              <w:t>3,500,000 Shares</w:t>
            </w:r>
          </w:p>
        </w:tc>
        <w:tc>
          <w:tcPr>
            <w:tcW w:w="138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89"/>
              </w:rPr>
              <w:t>$9,135,000</w:t>
            </w:r>
          </w:p>
        </w:tc>
        <w:tc>
          <w:tcPr>
            <w:tcW w:w="1360" w:type="dxa"/>
            <w:vAlign w:val="bottom"/>
            <w:vMerge w:val="restart"/>
          </w:tcPr>
          <w:p>
            <w:pPr>
              <w:jc w:val="center"/>
              <w:spacing w:after="0"/>
              <w:rPr>
                <w:sz w:val="20"/>
                <w:szCs w:val="20"/>
                <w:color w:val="auto"/>
              </w:rPr>
            </w:pPr>
            <w:r>
              <w:rPr>
                <w:rFonts w:ascii="Arial" w:cs="Arial" w:eastAsia="Arial" w:hAnsi="Arial"/>
                <w:sz w:val="17"/>
                <w:szCs w:val="17"/>
                <w:color w:val="auto"/>
                <w:w w:val="91"/>
              </w:rPr>
              <w:t>$846.81</w:t>
            </w:r>
          </w:p>
        </w:tc>
        <w:tc>
          <w:tcPr>
            <w:tcW w:w="0" w:type="dxa"/>
            <w:vAlign w:val="bottom"/>
          </w:tcPr>
          <w:p>
            <w:pPr>
              <w:spacing w:after="0"/>
              <w:rPr>
                <w:sz w:val="1"/>
                <w:szCs w:val="1"/>
                <w:color w:val="auto"/>
              </w:rPr>
            </w:pPr>
          </w:p>
        </w:tc>
      </w:tr>
      <w:tr>
        <w:trPr>
          <w:trHeight w:val="92"/>
        </w:trPr>
        <w:tc>
          <w:tcPr>
            <w:tcW w:w="4880" w:type="dxa"/>
            <w:vAlign w:val="bottom"/>
            <w:tcBorders>
              <w:right w:val="single" w:sz="8" w:color="auto"/>
            </w:tcBorders>
          </w:tcPr>
          <w:p>
            <w:pPr>
              <w:spacing w:after="0"/>
              <w:rPr>
                <w:sz w:val="7"/>
                <w:szCs w:val="7"/>
                <w:color w:val="auto"/>
              </w:rPr>
            </w:pPr>
          </w:p>
        </w:tc>
        <w:tc>
          <w:tcPr>
            <w:tcW w:w="2220" w:type="dxa"/>
            <w:vAlign w:val="bottom"/>
            <w:tcBorders>
              <w:right w:val="single" w:sz="8" w:color="auto"/>
            </w:tcBorders>
            <w:vMerge w:val="continue"/>
          </w:tcPr>
          <w:p>
            <w:pPr>
              <w:spacing w:after="0"/>
              <w:rPr>
                <w:sz w:val="7"/>
                <w:szCs w:val="7"/>
                <w:color w:val="auto"/>
              </w:rPr>
            </w:pPr>
          </w:p>
        </w:tc>
        <w:tc>
          <w:tcPr>
            <w:tcW w:w="1380" w:type="dxa"/>
            <w:vAlign w:val="bottom"/>
            <w:tcBorders>
              <w:right w:val="single" w:sz="8" w:color="auto"/>
            </w:tcBorders>
          </w:tcPr>
          <w:p>
            <w:pPr>
              <w:spacing w:after="0"/>
              <w:rPr>
                <w:sz w:val="7"/>
                <w:szCs w:val="7"/>
                <w:color w:val="auto"/>
              </w:rPr>
            </w:pPr>
          </w:p>
        </w:tc>
        <w:tc>
          <w:tcPr>
            <w:tcW w:w="1400" w:type="dxa"/>
            <w:vAlign w:val="bottom"/>
            <w:tcBorders>
              <w:right w:val="single" w:sz="8" w:color="auto"/>
            </w:tcBorders>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488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48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440" w:right="100" w:hanging="437"/>
        <w:spacing w:after="0" w:line="291" w:lineRule="auto"/>
        <w:tabs>
          <w:tab w:leader="none" w:pos="44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This registration statement shall also cover any additional shares of Class B common stock which become issuable under the plan being registered pursuant to this Registration Statement by reason of any stock dividend, stock split, recapitalization or any other similar transaction effected without the receipt of consideration which results in an increase in the number of the Registrant’s outstanding shares of Class B common stock.</w:t>
      </w:r>
    </w:p>
    <w:p>
      <w:pPr>
        <w:spacing w:after="0" w:line="200" w:lineRule="exact"/>
        <w:rPr>
          <w:rFonts w:ascii="Arial" w:cs="Arial" w:eastAsia="Arial" w:hAnsi="Arial"/>
          <w:sz w:val="16"/>
          <w:szCs w:val="16"/>
          <w:color w:val="auto"/>
        </w:rPr>
      </w:pPr>
    </w:p>
    <w:p>
      <w:pPr>
        <w:spacing w:after="0" w:line="214" w:lineRule="exact"/>
        <w:rPr>
          <w:rFonts w:ascii="Arial" w:cs="Arial" w:eastAsia="Arial" w:hAnsi="Arial"/>
          <w:sz w:val="16"/>
          <w:szCs w:val="16"/>
          <w:color w:val="auto"/>
        </w:rPr>
      </w:pPr>
    </w:p>
    <w:p>
      <w:pPr>
        <w:ind w:left="440" w:right="80" w:hanging="437"/>
        <w:spacing w:after="0" w:line="266" w:lineRule="auto"/>
        <w:tabs>
          <w:tab w:leader="none" w:pos="440"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in accordance with Rule 457(h) under the Securities Act of 1933, as amended, solely for the purpose of calculating the registration fee. The computation with respect to unissued options is based upon the average high and low sale prices of the Class B common stock as reported on the NASDAQ Global Select Market on December 17,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209550</wp:posOffset>
            </wp:positionV>
            <wp:extent cx="71380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80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365760</wp:posOffset>
            </wp:positionV>
            <wp:extent cx="71380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035"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582295</wp:posOffset>
            </wp:positionV>
            <wp:extent cx="717994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9945" cy="41910"/>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2" w:name="page3"/>
    <w:bookmarkEnd w:id="2"/>
    <w:p>
      <w:pPr>
        <w:ind w:left="5340"/>
        <w:spacing w:after="0"/>
        <w:rPr>
          <w:sz w:val="20"/>
          <w:szCs w:val="20"/>
          <w:color w:val="auto"/>
        </w:rPr>
      </w:pPr>
      <w:r>
        <w:rPr>
          <w:rFonts w:ascii="Arial" w:cs="Arial" w:eastAsia="Arial" w:hAnsi="Arial"/>
          <w:sz w:val="17"/>
          <w:szCs w:val="17"/>
          <w:b w:val="1"/>
          <w:bCs w:val="1"/>
          <w:color w:val="auto"/>
        </w:rPr>
        <w:t>PART I</w:t>
      </w:r>
    </w:p>
    <w:p>
      <w:pPr>
        <w:spacing w:after="0" w:line="76" w:lineRule="exact"/>
        <w:rPr>
          <w:sz w:val="20"/>
          <w:szCs w:val="20"/>
          <w:color w:val="auto"/>
        </w:rPr>
      </w:pPr>
    </w:p>
    <w:p>
      <w:pPr>
        <w:ind w:left="2980"/>
        <w:spacing w:after="0"/>
        <w:rPr>
          <w:sz w:val="20"/>
          <w:szCs w:val="20"/>
          <w:color w:val="auto"/>
        </w:rPr>
      </w:pPr>
      <w:r>
        <w:rPr>
          <w:rFonts w:ascii="Arial" w:cs="Arial" w:eastAsia="Arial" w:hAnsi="Arial"/>
          <w:sz w:val="17"/>
          <w:szCs w:val="17"/>
          <w:b w:val="1"/>
          <w:bCs w:val="1"/>
          <w:color w:val="auto"/>
        </w:rPr>
        <w:t>INFORMATION REQUIRED IN THE SECTION 10(a) PROSPECTUS</w:t>
      </w:r>
    </w:p>
    <w:p>
      <w:pPr>
        <w:spacing w:after="0" w:line="9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Not required to be included in this Form S-8 Registration Statement pursuant to the introductory Note to Part I of Form S-8.</w:t>
      </w:r>
    </w:p>
    <w:p>
      <w:pPr>
        <w:spacing w:after="0" w:line="315" w:lineRule="exact"/>
        <w:rPr>
          <w:sz w:val="20"/>
          <w:szCs w:val="20"/>
          <w:color w:val="auto"/>
        </w:rPr>
      </w:pPr>
    </w:p>
    <w:p>
      <w:pPr>
        <w:ind w:left="5320"/>
        <w:spacing w:after="0"/>
        <w:rPr>
          <w:sz w:val="20"/>
          <w:szCs w:val="20"/>
          <w:color w:val="auto"/>
        </w:rPr>
      </w:pPr>
      <w:r>
        <w:rPr>
          <w:rFonts w:ascii="Arial" w:cs="Arial" w:eastAsia="Arial" w:hAnsi="Arial"/>
          <w:sz w:val="17"/>
          <w:szCs w:val="17"/>
          <w:b w:val="1"/>
          <w:bCs w:val="1"/>
          <w:color w:val="auto"/>
        </w:rPr>
        <w:t>PART II</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REQUIRED IN THE REGISTRATION STATEMENT</w:t>
      </w:r>
    </w:p>
    <w:p>
      <w:pPr>
        <w:spacing w:after="0" w:line="205"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Incorporation of Documents by Reference.</w:t>
      </w:r>
    </w:p>
    <w:p>
      <w:pPr>
        <w:spacing w:after="0" w:line="82" w:lineRule="exact"/>
        <w:rPr>
          <w:sz w:val="20"/>
          <w:szCs w:val="20"/>
          <w:color w:val="auto"/>
        </w:rPr>
      </w:pPr>
    </w:p>
    <w:p>
      <w:pPr>
        <w:ind w:right="240" w:firstLine="589"/>
        <w:spacing w:after="0" w:line="280" w:lineRule="auto"/>
        <w:rPr>
          <w:sz w:val="20"/>
          <w:szCs w:val="20"/>
          <w:color w:val="auto"/>
        </w:rPr>
      </w:pPr>
      <w:r>
        <w:rPr>
          <w:rFonts w:ascii="Arial" w:cs="Arial" w:eastAsia="Arial" w:hAnsi="Arial"/>
          <w:sz w:val="17"/>
          <w:szCs w:val="17"/>
          <w:color w:val="auto"/>
        </w:rPr>
        <w:t>The following documents which have been filed by the Registrant with the Securities and Exchange Commission (the “Commission”) are incorporated herein by reference (all File No. 000-50658):</w:t>
      </w:r>
    </w:p>
    <w:p>
      <w:pPr>
        <w:spacing w:after="0" w:line="34" w:lineRule="exact"/>
        <w:rPr>
          <w:sz w:val="20"/>
          <w:szCs w:val="20"/>
          <w:color w:val="auto"/>
        </w:rPr>
      </w:pPr>
    </w:p>
    <w:p>
      <w:pPr>
        <w:ind w:left="820" w:hanging="228"/>
        <w:spacing w:after="0"/>
        <w:tabs>
          <w:tab w:leader="none" w:pos="820" w:val="left"/>
        </w:tabs>
        <w:numPr>
          <w:ilvl w:val="0"/>
          <w:numId w:val="2"/>
        </w:numPr>
        <w:rPr>
          <w:rFonts w:ascii="Arial" w:cs="Arial" w:eastAsia="Arial" w:hAnsi="Arial"/>
          <w:sz w:val="15"/>
          <w:szCs w:val="15"/>
          <w:color w:val="auto"/>
        </w:rPr>
      </w:pPr>
      <w:r>
        <w:rPr>
          <w:rFonts w:ascii="Arial" w:cs="Arial" w:eastAsia="Arial" w:hAnsi="Arial"/>
          <w:sz w:val="15"/>
          <w:szCs w:val="15"/>
          <w:color w:val="auto"/>
        </w:rPr>
        <w:t xml:space="preserve">The Registrant’s Annual Report on </w:t>
      </w:r>
      <w:hyperlink r:id="rId21">
        <w:r>
          <w:rPr>
            <w:rFonts w:ascii="Arial" w:cs="Arial" w:eastAsia="Arial" w:hAnsi="Arial"/>
            <w:sz w:val="15"/>
            <w:szCs w:val="15"/>
            <w:u w:val="single" w:color="auto"/>
            <w:color w:val="0000EE"/>
          </w:rPr>
          <w:t>Form 10-K</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for the year ended December 31, 2020, as filed with the SEC on March 31, 2021, as amended on April</w:t>
      </w:r>
    </w:p>
    <w:p>
      <w:pPr>
        <w:spacing w:after="0" w:line="4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30, 2021;</w:t>
      </w:r>
    </w:p>
    <w:p>
      <w:pPr>
        <w:spacing w:after="0" w:line="64" w:lineRule="exact"/>
        <w:rPr>
          <w:rFonts w:ascii="Arial" w:cs="Arial" w:eastAsia="Arial" w:hAnsi="Arial"/>
          <w:sz w:val="15"/>
          <w:szCs w:val="15"/>
          <w:color w:val="auto"/>
        </w:rPr>
      </w:pPr>
    </w:p>
    <w:p>
      <w:pPr>
        <w:ind w:right="300" w:firstLine="592"/>
        <w:spacing w:after="0" w:line="280" w:lineRule="auto"/>
        <w:tabs>
          <w:tab w:leader="none" w:pos="832"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The Registrant’s Quarterly Reports on Form 10-Q for the quarterly periods ended </w:t>
      </w:r>
      <w:hyperlink r:id="rId22">
        <w:r>
          <w:rPr>
            <w:rFonts w:ascii="Arial" w:cs="Arial" w:eastAsia="Arial" w:hAnsi="Arial"/>
            <w:sz w:val="17"/>
            <w:szCs w:val="17"/>
            <w:u w:val="single" w:color="auto"/>
            <w:color w:val="0000EE"/>
          </w:rPr>
          <w:t>March 31, 2021</w:t>
        </w:r>
      </w:hyperlink>
      <w:r>
        <w:rPr>
          <w:rFonts w:ascii="Arial" w:cs="Arial" w:eastAsia="Arial" w:hAnsi="Arial"/>
          <w:sz w:val="17"/>
          <w:szCs w:val="17"/>
          <w:color w:val="auto"/>
        </w:rPr>
        <w:t xml:space="preserve">, </w:t>
      </w:r>
      <w:hyperlink r:id="rId23">
        <w:r>
          <w:rPr>
            <w:rFonts w:ascii="Arial" w:cs="Arial" w:eastAsia="Arial" w:hAnsi="Arial"/>
            <w:sz w:val="17"/>
            <w:szCs w:val="17"/>
            <w:u w:val="single" w:color="auto"/>
            <w:color w:val="0000EE"/>
          </w:rPr>
          <w:t>June 30, 2021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w:t>
      </w:r>
      <w:hyperlink r:id="rId24">
        <w:r>
          <w:rPr>
            <w:rFonts w:ascii="Arial" w:cs="Arial" w:eastAsia="Arial" w:hAnsi="Arial"/>
            <w:sz w:val="17"/>
            <w:szCs w:val="17"/>
            <w:u w:val="single" w:color="auto"/>
            <w:color w:val="0000EE"/>
          </w:rPr>
          <w:t>September 30, 2021</w:t>
        </w:r>
      </w:hyperlink>
      <w:r>
        <w:rPr>
          <w:rFonts w:ascii="Arial" w:cs="Arial" w:eastAsia="Arial" w:hAnsi="Arial"/>
          <w:sz w:val="17"/>
          <w:szCs w:val="17"/>
          <w:color w:val="auto"/>
        </w:rPr>
        <w:t>, as filed with the SEC on May 13, 2021, August 12, 2021 and November 10, 2021, respectively;</w:t>
      </w:r>
    </w:p>
    <w:p>
      <w:pPr>
        <w:spacing w:after="0" w:line="21" w:lineRule="exact"/>
        <w:rPr>
          <w:rFonts w:ascii="Arial" w:cs="Arial" w:eastAsia="Arial" w:hAnsi="Arial"/>
          <w:sz w:val="17"/>
          <w:szCs w:val="17"/>
          <w:color w:val="auto"/>
        </w:rPr>
      </w:pPr>
    </w:p>
    <w:p>
      <w:pPr>
        <w:ind w:left="820" w:hanging="228"/>
        <w:spacing w:after="0"/>
        <w:tabs>
          <w:tab w:leader="none" w:pos="82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The Registrant’s Current Reports on Form 8-K filed with the SEC on </w:t>
      </w:r>
      <w:hyperlink r:id="rId25">
        <w:r>
          <w:rPr>
            <w:rFonts w:ascii="Arial" w:cs="Arial" w:eastAsia="Arial" w:hAnsi="Arial"/>
            <w:sz w:val="16"/>
            <w:szCs w:val="16"/>
            <w:u w:val="single" w:color="auto"/>
            <w:color w:val="0000EE"/>
          </w:rPr>
          <w:t>January 4, 2021</w:t>
        </w:r>
      </w:hyperlink>
      <w:r>
        <w:rPr>
          <w:rFonts w:ascii="Arial" w:cs="Arial" w:eastAsia="Arial" w:hAnsi="Arial"/>
          <w:sz w:val="16"/>
          <w:szCs w:val="16"/>
          <w:color w:val="auto"/>
        </w:rPr>
        <w:t xml:space="preserve">, </w:t>
      </w:r>
      <w:hyperlink r:id="rId26">
        <w:r>
          <w:rPr>
            <w:rFonts w:ascii="Arial" w:cs="Arial" w:eastAsia="Arial" w:hAnsi="Arial"/>
            <w:sz w:val="16"/>
            <w:szCs w:val="16"/>
            <w:u w:val="single" w:color="auto"/>
            <w:color w:val="0000EE"/>
          </w:rPr>
          <w:t>April 6, 2021</w:t>
        </w:r>
      </w:hyperlink>
      <w:r>
        <w:rPr>
          <w:rFonts w:ascii="Arial" w:cs="Arial" w:eastAsia="Arial" w:hAnsi="Arial"/>
          <w:sz w:val="16"/>
          <w:szCs w:val="16"/>
          <w:color w:val="auto"/>
        </w:rPr>
        <w:t xml:space="preserve">, </w:t>
      </w:r>
      <w:hyperlink r:id="rId27">
        <w:r>
          <w:rPr>
            <w:rFonts w:ascii="Arial" w:cs="Arial" w:eastAsia="Arial" w:hAnsi="Arial"/>
            <w:sz w:val="16"/>
            <w:szCs w:val="16"/>
            <w:u w:val="single" w:color="auto"/>
            <w:color w:val="0000EE"/>
          </w:rPr>
          <w:t>August 17, 2021</w:t>
        </w:r>
      </w:hyperlink>
      <w:r>
        <w:rPr>
          <w:rFonts w:ascii="Arial" w:cs="Arial" w:eastAsia="Arial" w:hAnsi="Arial"/>
          <w:sz w:val="16"/>
          <w:szCs w:val="16"/>
          <w:color w:val="auto"/>
        </w:rPr>
        <w:t xml:space="preserve">, and </w:t>
      </w:r>
      <w:hyperlink r:id="rId28">
        <w:r>
          <w:rPr>
            <w:rFonts w:ascii="Arial" w:cs="Arial" w:eastAsia="Arial" w:hAnsi="Arial"/>
            <w:sz w:val="16"/>
            <w:szCs w:val="16"/>
            <w:u w:val="single" w:color="auto"/>
            <w:color w:val="0000EE"/>
          </w:rPr>
          <w:t>October 4, 2021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and;</w:t>
      </w:r>
    </w:p>
    <w:p>
      <w:pPr>
        <w:spacing w:after="0" w:line="100" w:lineRule="exact"/>
        <w:rPr>
          <w:rFonts w:ascii="Arial" w:cs="Arial" w:eastAsia="Arial" w:hAnsi="Arial"/>
          <w:sz w:val="16"/>
          <w:szCs w:val="16"/>
          <w:color w:val="auto"/>
        </w:rPr>
      </w:pPr>
    </w:p>
    <w:p>
      <w:pPr>
        <w:ind w:right="220" w:firstLine="592"/>
        <w:spacing w:after="0" w:line="266" w:lineRule="auto"/>
        <w:tabs>
          <w:tab w:leader="none" w:pos="823"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Description of Class B Common Stock of the Registrant contained in the Registration Statement on </w:t>
      </w:r>
      <w:hyperlink r:id="rId29">
        <w:r>
          <w:rPr>
            <w:rFonts w:ascii="Arial" w:cs="Arial" w:eastAsia="Arial" w:hAnsi="Arial"/>
            <w:sz w:val="17"/>
            <w:szCs w:val="17"/>
            <w:u w:val="single" w:color="auto"/>
            <w:color w:val="0000EE"/>
          </w:rPr>
          <w:t>Form 8-A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filed under Section 12(g) of the Securities Exchange Act of 1934, as amended (the “Exchange Act”), on March 30, 2004, including any amendments or reports filed for the purpose of updating such description.</w:t>
      </w:r>
    </w:p>
    <w:p>
      <w:pPr>
        <w:spacing w:after="0" w:line="124" w:lineRule="exact"/>
        <w:rPr>
          <w:rFonts w:ascii="Arial" w:cs="Arial" w:eastAsia="Arial" w:hAnsi="Arial"/>
          <w:sz w:val="16"/>
          <w:szCs w:val="16"/>
          <w:color w:val="auto"/>
        </w:rPr>
      </w:pPr>
    </w:p>
    <w:p>
      <w:pPr>
        <w:ind w:firstLine="589"/>
        <w:spacing w:after="0" w:line="276" w:lineRule="auto"/>
        <w:rPr>
          <w:sz w:val="20"/>
          <w:szCs w:val="20"/>
          <w:color w:val="auto"/>
        </w:rPr>
      </w:pPr>
      <w:r>
        <w:rPr>
          <w:rFonts w:ascii="Arial" w:cs="Arial" w:eastAsia="Arial" w:hAnsi="Arial"/>
          <w:sz w:val="16"/>
          <w:szCs w:val="16"/>
          <w:color w:val="auto"/>
        </w:rPr>
        <w:t>All documents subsequently filed (but not those “furnished”) by the Registrant with the Commission pursuant to Sections 13(a), 13(c), 14 and 15(d) of the Exchange Act, prior to the filing of a post-effective amendment which indicates that all securities offered have been sold or which deregisters all securities remaining unsold, shall be deemed to be incorporated by reference into this Registration Statement and to be a part of this Registration Statement from the date of filing of such documents. For the purposes of this registration statement, 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29" w:lineRule="exact"/>
        <w:rPr>
          <w:rFonts w:ascii="Arial" w:cs="Arial" w:eastAsia="Arial" w:hAnsi="Arial"/>
          <w:sz w:val="16"/>
          <w:szCs w:val="16"/>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82" w:lineRule="exact"/>
        <w:rPr>
          <w:rFonts w:ascii="Arial" w:cs="Arial" w:eastAsia="Arial" w:hAnsi="Arial"/>
          <w:sz w:val="16"/>
          <w:szCs w:val="16"/>
          <w:color w:val="auto"/>
        </w:rPr>
      </w:pPr>
    </w:p>
    <w:p>
      <w:pPr>
        <w:ind w:left="600"/>
        <w:spacing w:after="0"/>
        <w:rPr>
          <w:sz w:val="20"/>
          <w:szCs w:val="20"/>
          <w:color w:val="auto"/>
        </w:rPr>
      </w:pPr>
      <w:r>
        <w:rPr>
          <w:rFonts w:ascii="Arial" w:cs="Arial" w:eastAsia="Arial" w:hAnsi="Arial"/>
          <w:sz w:val="17"/>
          <w:szCs w:val="17"/>
          <w:color w:val="auto"/>
        </w:rPr>
        <w:t>Not applicable.</w:t>
      </w:r>
    </w:p>
    <w:p>
      <w:pPr>
        <w:spacing w:after="0" w:line="276" w:lineRule="exact"/>
        <w:rPr>
          <w:rFonts w:ascii="Arial" w:cs="Arial" w:eastAsia="Arial" w:hAnsi="Arial"/>
          <w:sz w:val="16"/>
          <w:szCs w:val="16"/>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5"/>
          <w:szCs w:val="15"/>
          <w:b w:val="1"/>
          <w:bCs w:val="1"/>
          <w:color w:val="auto"/>
        </w:rPr>
        <w:t>Interests of Named Experts and Counsel.</w:t>
      </w:r>
    </w:p>
    <w:p>
      <w:pPr>
        <w:spacing w:after="0" w:line="82" w:lineRule="exact"/>
        <w:rPr>
          <w:rFonts w:ascii="Arial" w:cs="Arial" w:eastAsia="Arial" w:hAnsi="Arial"/>
          <w:sz w:val="16"/>
          <w:szCs w:val="16"/>
          <w:color w:val="auto"/>
        </w:rPr>
      </w:pPr>
    </w:p>
    <w:p>
      <w:pPr>
        <w:ind w:left="600"/>
        <w:spacing w:after="0"/>
        <w:rPr>
          <w:sz w:val="20"/>
          <w:szCs w:val="20"/>
          <w:color w:val="auto"/>
        </w:rPr>
      </w:pPr>
      <w:r>
        <w:rPr>
          <w:rFonts w:ascii="Arial" w:cs="Arial" w:eastAsia="Arial" w:hAnsi="Arial"/>
          <w:sz w:val="17"/>
          <w:szCs w:val="17"/>
          <w:color w:val="auto"/>
        </w:rPr>
        <w:t>Not applicable.</w:t>
      </w:r>
    </w:p>
    <w:p>
      <w:pPr>
        <w:spacing w:after="0" w:line="276" w:lineRule="exact"/>
        <w:rPr>
          <w:rFonts w:ascii="Arial" w:cs="Arial" w:eastAsia="Arial" w:hAnsi="Arial"/>
          <w:sz w:val="16"/>
          <w:szCs w:val="16"/>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Indemnification of Directors and Officers.</w:t>
      </w:r>
    </w:p>
    <w:p>
      <w:pPr>
        <w:spacing w:after="0" w:line="94" w:lineRule="exact"/>
        <w:rPr>
          <w:rFonts w:ascii="Arial" w:cs="Arial" w:eastAsia="Arial" w:hAnsi="Arial"/>
          <w:sz w:val="16"/>
          <w:szCs w:val="16"/>
          <w:color w:val="auto"/>
        </w:rPr>
      </w:pPr>
    </w:p>
    <w:p>
      <w:pPr>
        <w:ind w:right="20" w:firstLine="589"/>
        <w:spacing w:after="0" w:line="258" w:lineRule="auto"/>
        <w:rPr>
          <w:sz w:val="20"/>
          <w:szCs w:val="20"/>
          <w:color w:val="auto"/>
        </w:rPr>
      </w:pPr>
      <w:r>
        <w:rPr>
          <w:rFonts w:ascii="Arial" w:cs="Arial" w:eastAsia="Arial" w:hAnsi="Arial"/>
          <w:sz w:val="17"/>
          <w:szCs w:val="17"/>
          <w:color w:val="auto"/>
        </w:rPr>
        <w:t>Section 145 of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Delaware General Corporation Law provides that Section 145 is not exclusive of other rights to which those seeking indemnification may be entitled under any bylaw, agreement, vote of stockholders or disinterested directors or otherwise. The Registrant’s amended and restated by-laws provide for indemnification by the Registrant of its directors, officers and employees to the fullest extent permitted by the Delaware General Corporation Law.</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-10160</wp:posOffset>
            </wp:positionH>
            <wp:positionV relativeFrom="paragraph">
              <wp:posOffset>192405</wp:posOffset>
            </wp:positionV>
            <wp:extent cx="717994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7179945" cy="41910"/>
                    </a:xfrm>
                    <a:prstGeom prst="rect">
                      <a:avLst/>
                    </a:prstGeom>
                    <a:noFill/>
                  </pic:spPr>
                </pic:pic>
              </a:graphicData>
            </a:graphic>
          </wp:anchor>
        </w:drawing>
      </w:r>
    </w:p>
    <w:p>
      <w:pPr>
        <w:sectPr>
          <w:pgSz w:w="11900" w:h="16838" w:orient="portrait"/>
          <w:cols w:equalWidth="0" w:num="1">
            <w:col w:w="11220"/>
          </w:cols>
          <w:pgMar w:left="320" w:top="573" w:right="359" w:bottom="1440" w:gutter="0" w:footer="0" w:header="0"/>
        </w:sectPr>
      </w:pPr>
    </w:p>
    <w:bookmarkStart w:id="3" w:name="page4"/>
    <w:bookmarkEnd w:id="3"/>
    <w:p>
      <w:pPr>
        <w:ind w:right="200" w:firstLine="589"/>
        <w:spacing w:after="0" w:line="294" w:lineRule="auto"/>
        <w:rPr>
          <w:sz w:val="20"/>
          <w:szCs w:val="20"/>
          <w:color w:val="auto"/>
        </w:rPr>
      </w:pPr>
      <w:r>
        <w:rPr>
          <w:rFonts w:ascii="Arial" w:cs="Arial" w:eastAsia="Arial" w:hAnsi="Arial"/>
          <w:sz w:val="15"/>
          <w:szCs w:val="15"/>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for liability</w:t>
      </w:r>
    </w:p>
    <w:p>
      <w:pPr>
        <w:spacing w:after="0" w:line="1" w:lineRule="exact"/>
        <w:rPr>
          <w:sz w:val="20"/>
          <w:szCs w:val="20"/>
          <w:color w:val="auto"/>
        </w:rPr>
      </w:pPr>
    </w:p>
    <w:p>
      <w:pPr>
        <w:ind w:right="160" w:firstLine="3"/>
        <w:spacing w:after="0" w:line="258" w:lineRule="auto"/>
        <w:tabs>
          <w:tab w:leader="none" w:pos="205" w:val="left"/>
        </w:tabs>
        <w:numPr>
          <w:ilvl w:val="0"/>
          <w:numId w:val="4"/>
        </w:numPr>
        <w:rPr>
          <w:rFonts w:ascii="Arial" w:cs="Arial" w:eastAsia="Arial" w:hAnsi="Arial"/>
          <w:sz w:val="17"/>
          <w:szCs w:val="17"/>
          <w:color w:val="auto"/>
        </w:rPr>
      </w:pPr>
      <w:r>
        <w:rPr>
          <w:rFonts w:ascii="Arial" w:cs="Arial" w:eastAsia="Arial" w:hAnsi="Arial"/>
          <w:sz w:val="17"/>
          <w:szCs w:val="17"/>
          <w:color w:val="auto"/>
        </w:rPr>
        <w:t>for any breach of the director’s duty of loyalty to the corporation or its stockholders, (ii) for acts or omissions not in good faith or which involve intentional misconduct or a knowing violation of law, (iii) for unlawful payments of dividends or unlawful stock repurchases, redemptions or other distributions, or (iv) for any transaction from which the director derived an improper personal benefit. The Registrant’s amended and restated certificate of incorporation provides for such limitation of liability.</w:t>
      </w:r>
    </w:p>
    <w:p>
      <w:pPr>
        <w:spacing w:after="0" w:line="130" w:lineRule="exact"/>
        <w:rPr>
          <w:sz w:val="20"/>
          <w:szCs w:val="20"/>
          <w:color w:val="auto"/>
        </w:rPr>
      </w:pPr>
    </w:p>
    <w:p>
      <w:pPr>
        <w:jc w:val="both"/>
        <w:ind w:right="220" w:firstLine="589"/>
        <w:spacing w:after="0" w:line="266" w:lineRule="auto"/>
        <w:rPr>
          <w:sz w:val="20"/>
          <w:szCs w:val="20"/>
          <w:color w:val="auto"/>
        </w:rPr>
      </w:pPr>
      <w:r>
        <w:rPr>
          <w:rFonts w:ascii="Arial" w:cs="Arial" w:eastAsia="Arial" w:hAnsi="Arial"/>
          <w:sz w:val="17"/>
          <w:szCs w:val="17"/>
          <w:color w:val="auto"/>
        </w:rPr>
        <w:t>The Registrant maintains standard policies of insurance under which coverage is provided (a) to its directors and officers against loss arising from claims made by reason of breach of duty or other wrongful act, and (b) to the Registrant with respect to payments which may be made by the Registrant to such officers and directors pursuant to the above indemnification provision or otherwise as a matter of law.</w:t>
      </w:r>
    </w:p>
    <w:p>
      <w:pPr>
        <w:spacing w:after="0" w:line="196"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5"/>
          <w:szCs w:val="15"/>
          <w:b w:val="1"/>
          <w:bCs w:val="1"/>
          <w:color w:val="auto"/>
        </w:rPr>
        <w:t>Exemption from Registration Claimed.</w:t>
      </w:r>
    </w:p>
    <w:p>
      <w:pPr>
        <w:spacing w:after="0" w:line="8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Not applicable.</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0" w:type="dxa"/>
            <w:vAlign w:val="bottom"/>
          </w:tcPr>
          <w:p>
            <w:pPr>
              <w:spacing w:after="0"/>
              <w:rPr>
                <w:sz w:val="20"/>
                <w:szCs w:val="20"/>
                <w:color w:val="auto"/>
              </w:rPr>
            </w:pPr>
            <w:r>
              <w:rPr>
                <w:rFonts w:ascii="Arial" w:cs="Arial" w:eastAsia="Arial" w:hAnsi="Arial"/>
                <w:sz w:val="17"/>
                <w:szCs w:val="17"/>
                <w:b w:val="1"/>
                <w:bCs w:val="1"/>
                <w:color w:val="auto"/>
              </w:rPr>
              <w:t>Item 8.</w:t>
            </w:r>
          </w:p>
        </w:tc>
        <w:tc>
          <w:tcPr>
            <w:tcW w:w="10700" w:type="dxa"/>
            <w:vAlign w:val="bottom"/>
            <w:gridSpan w:val="10"/>
          </w:tcPr>
          <w:p>
            <w:pPr>
              <w:ind w:left="380"/>
              <w:spacing w:after="0"/>
              <w:rPr>
                <w:sz w:val="20"/>
                <w:szCs w:val="20"/>
                <w:color w:val="auto"/>
              </w:rPr>
            </w:pPr>
            <w:r>
              <w:rPr>
                <w:rFonts w:ascii="Arial" w:cs="Arial" w:eastAsia="Arial" w:hAnsi="Arial"/>
                <w:sz w:val="17"/>
                <w:szCs w:val="17"/>
                <w:b w:val="1"/>
                <w:bCs w:val="1"/>
                <w:color w:val="auto"/>
              </w:rPr>
              <w:t>Exhibits.</w:t>
            </w:r>
          </w:p>
        </w:tc>
        <w:tc>
          <w:tcPr>
            <w:tcW w:w="0" w:type="dxa"/>
            <w:vAlign w:val="bottom"/>
          </w:tcPr>
          <w:p>
            <w:pPr>
              <w:spacing w:after="0"/>
              <w:rPr>
                <w:sz w:val="1"/>
                <w:szCs w:val="1"/>
                <w:color w:val="auto"/>
              </w:rPr>
            </w:pPr>
          </w:p>
        </w:tc>
      </w:tr>
      <w:tr>
        <w:trPr>
          <w:trHeight w:val="634"/>
        </w:trPr>
        <w:tc>
          <w:tcPr>
            <w:tcW w:w="640" w:type="dxa"/>
            <w:vAlign w:val="bottom"/>
          </w:tcPr>
          <w:p>
            <w:pPr>
              <w:ind w:left="120"/>
              <w:spacing w:after="0"/>
              <w:rPr>
                <w:sz w:val="20"/>
                <w:szCs w:val="20"/>
                <w:color w:val="auto"/>
              </w:rPr>
            </w:pPr>
            <w:r>
              <w:rPr>
                <w:rFonts w:ascii="Arial" w:cs="Arial" w:eastAsia="Arial" w:hAnsi="Arial"/>
                <w:sz w:val="13"/>
                <w:szCs w:val="13"/>
                <w:b w:val="1"/>
                <w:bCs w:val="1"/>
                <w:color w:val="auto"/>
              </w:rPr>
              <w:t>Exhibit</w:t>
            </w:r>
          </w:p>
        </w:tc>
        <w:tc>
          <w:tcPr>
            <w:tcW w:w="5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Number</w:t>
            </w:r>
          </w:p>
        </w:tc>
        <w:tc>
          <w:tcPr>
            <w:tcW w:w="560" w:type="dxa"/>
            <w:vAlign w:val="bottom"/>
          </w:tcPr>
          <w:p>
            <w:pPr>
              <w:spacing w:after="0"/>
              <w:rPr>
                <w:sz w:val="13"/>
                <w:szCs w:val="13"/>
                <w:color w:val="auto"/>
              </w:rPr>
            </w:pPr>
          </w:p>
        </w:tc>
        <w:tc>
          <w:tcPr>
            <w:tcW w:w="10140" w:type="dxa"/>
            <w:vAlign w:val="bottom"/>
            <w:gridSpan w:val="9"/>
            <w:vMerge w:val="restart"/>
          </w:tcPr>
          <w:p>
            <w:pPr>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75"/>
        </w:trPr>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140" w:type="dxa"/>
            <w:vAlign w:val="bottom"/>
            <w:tcBorders>
              <w:bottom w:val="single" w:sz="8" w:color="auto"/>
            </w:tcBorders>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93"/>
        </w:trPr>
        <w:tc>
          <w:tcPr>
            <w:tcW w:w="640" w:type="dxa"/>
            <w:vAlign w:val="bottom"/>
          </w:tcPr>
          <w:p>
            <w:pPr>
              <w:spacing w:after="0"/>
              <w:rPr>
                <w:sz w:val="20"/>
                <w:szCs w:val="20"/>
                <w:color w:val="auto"/>
              </w:rPr>
            </w:pPr>
            <w:r>
              <w:rPr>
                <w:rFonts w:ascii="Arial" w:cs="Arial" w:eastAsia="Arial" w:hAnsi="Arial"/>
                <w:sz w:val="17"/>
                <w:szCs w:val="17"/>
                <w:color w:val="auto"/>
              </w:rPr>
              <w:t>4.1</w:t>
            </w:r>
          </w:p>
        </w:tc>
        <w:tc>
          <w:tcPr>
            <w:tcW w:w="560" w:type="dxa"/>
            <w:vAlign w:val="bottom"/>
          </w:tcPr>
          <w:p>
            <w:pPr>
              <w:spacing w:after="0"/>
              <w:rPr>
                <w:sz w:val="24"/>
                <w:szCs w:val="24"/>
                <w:color w:val="auto"/>
              </w:rPr>
            </w:pPr>
          </w:p>
        </w:tc>
        <w:tc>
          <w:tcPr>
            <w:tcW w:w="10140" w:type="dxa"/>
            <w:vAlign w:val="bottom"/>
            <w:tcBorders>
              <w:bottom w:val="single" w:sz="8" w:color="0000EE"/>
            </w:tcBorders>
            <w:gridSpan w:val="9"/>
          </w:tcPr>
          <w:p>
            <w:pPr>
              <w:spacing w:after="0"/>
              <w:rPr>
                <w:rFonts w:ascii="Arial" w:cs="Arial" w:eastAsia="Arial" w:hAnsi="Arial"/>
                <w:sz w:val="17"/>
                <w:szCs w:val="17"/>
                <w:color w:val="0000EE"/>
                <w:w w:val="91"/>
              </w:rPr>
            </w:pPr>
            <w:hyperlink r:id="rId31">
              <w:r>
                <w:rPr>
                  <w:rFonts w:ascii="Arial" w:cs="Arial" w:eastAsia="Arial" w:hAnsi="Arial"/>
                  <w:sz w:val="17"/>
                  <w:szCs w:val="17"/>
                  <w:color w:val="0000EE"/>
                  <w:w w:val="91"/>
                </w:rPr>
                <w:t>Amended and Restated Certificate of Incorporation of the Registrant (Filed with Registrant’s Amendment No. 2 to the Registration Statement on Fo</w:t>
              </w:r>
            </w:hyperlink>
          </w:p>
        </w:tc>
        <w:tc>
          <w:tcPr>
            <w:tcW w:w="0" w:type="dxa"/>
            <w:vAlign w:val="bottom"/>
          </w:tcPr>
          <w:p>
            <w:pPr>
              <w:spacing w:after="0"/>
              <w:rPr>
                <w:sz w:val="1"/>
                <w:szCs w:val="1"/>
                <w:color w:val="auto"/>
              </w:rPr>
            </w:pPr>
          </w:p>
        </w:tc>
      </w:tr>
      <w:tr>
        <w:trPr>
          <w:trHeight w:val="187"/>
        </w:trPr>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700" w:type="dxa"/>
            <w:vAlign w:val="bottom"/>
            <w:tcBorders>
              <w:bottom w:val="single" w:sz="8" w:color="0000EE"/>
            </w:tcBorders>
            <w:gridSpan w:val="7"/>
          </w:tcPr>
          <w:p>
            <w:pPr>
              <w:spacing w:after="0" w:line="186" w:lineRule="exact"/>
              <w:rPr>
                <w:rFonts w:ascii="Arial" w:cs="Arial" w:eastAsia="Arial" w:hAnsi="Arial"/>
                <w:sz w:val="17"/>
                <w:szCs w:val="17"/>
                <w:color w:val="0000EE"/>
                <w:w w:val="91"/>
              </w:rPr>
            </w:pPr>
            <w:hyperlink r:id="rId31">
              <w:r>
                <w:rPr>
                  <w:rFonts w:ascii="Arial" w:cs="Arial" w:eastAsia="Arial" w:hAnsi="Arial"/>
                  <w:sz w:val="17"/>
                  <w:szCs w:val="17"/>
                  <w:color w:val="0000EE"/>
                  <w:w w:val="91"/>
                </w:rPr>
                <w:t>2 (No. 333-111096) filed with the SEC on March 19, 2004 and incorporated herein by reference).</w:t>
              </w:r>
            </w:hyperlink>
          </w:p>
        </w:tc>
        <w:tc>
          <w:tcPr>
            <w:tcW w:w="34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419"/>
        </w:trPr>
        <w:tc>
          <w:tcPr>
            <w:tcW w:w="640" w:type="dxa"/>
            <w:vAlign w:val="bottom"/>
          </w:tcPr>
          <w:p>
            <w:pPr>
              <w:spacing w:after="0"/>
              <w:rPr>
                <w:sz w:val="20"/>
                <w:szCs w:val="20"/>
                <w:color w:val="auto"/>
              </w:rPr>
            </w:pPr>
            <w:r>
              <w:rPr>
                <w:rFonts w:ascii="Arial" w:cs="Arial" w:eastAsia="Arial" w:hAnsi="Arial"/>
                <w:sz w:val="17"/>
                <w:szCs w:val="17"/>
                <w:color w:val="auto"/>
              </w:rPr>
              <w:t>4.2</w:t>
            </w:r>
          </w:p>
        </w:tc>
        <w:tc>
          <w:tcPr>
            <w:tcW w:w="560" w:type="dxa"/>
            <w:vAlign w:val="bottom"/>
          </w:tcPr>
          <w:p>
            <w:pPr>
              <w:spacing w:after="0"/>
              <w:rPr>
                <w:sz w:val="24"/>
                <w:szCs w:val="24"/>
                <w:color w:val="auto"/>
              </w:rPr>
            </w:pPr>
          </w:p>
        </w:tc>
        <w:tc>
          <w:tcPr>
            <w:tcW w:w="10140" w:type="dxa"/>
            <w:vAlign w:val="bottom"/>
            <w:tcBorders>
              <w:bottom w:val="single" w:sz="8" w:color="0000EE"/>
            </w:tcBorders>
            <w:gridSpan w:val="9"/>
          </w:tcPr>
          <w:p>
            <w:pPr>
              <w:spacing w:after="0"/>
              <w:rPr>
                <w:rFonts w:ascii="Arial" w:cs="Arial" w:eastAsia="Arial" w:hAnsi="Arial"/>
                <w:sz w:val="17"/>
                <w:szCs w:val="17"/>
                <w:color w:val="0000EE"/>
                <w:w w:val="92"/>
              </w:rPr>
            </w:pPr>
            <w:hyperlink r:id="rId32">
              <w:r>
                <w:rPr>
                  <w:rFonts w:ascii="Arial" w:cs="Arial" w:eastAsia="Arial" w:hAnsi="Arial"/>
                  <w:sz w:val="17"/>
                  <w:szCs w:val="17"/>
                  <w:color w:val="0000EE"/>
                  <w:w w:val="92"/>
                </w:rPr>
                <w:t>Second Amended and Restated By-Laws of the Registrant (Filed with the Registrant’s Quarterly Report on Form 10-Q filed with the SEC on Nove</w:t>
              </w:r>
            </w:hyperlink>
          </w:p>
        </w:tc>
        <w:tc>
          <w:tcPr>
            <w:tcW w:w="0" w:type="dxa"/>
            <w:vAlign w:val="bottom"/>
          </w:tcPr>
          <w:p>
            <w:pPr>
              <w:spacing w:after="0"/>
              <w:rPr>
                <w:sz w:val="1"/>
                <w:szCs w:val="1"/>
                <w:color w:val="auto"/>
              </w:rPr>
            </w:pPr>
          </w:p>
        </w:tc>
      </w:tr>
      <w:tr>
        <w:trPr>
          <w:trHeight w:val="187"/>
        </w:trPr>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140" w:type="dxa"/>
            <w:vAlign w:val="bottom"/>
            <w:gridSpan w:val="9"/>
          </w:tcPr>
          <w:p>
            <w:pPr>
              <w:spacing w:after="0" w:line="186" w:lineRule="exact"/>
              <w:rPr>
                <w:rFonts w:ascii="Arial" w:cs="Arial" w:eastAsia="Arial" w:hAnsi="Arial"/>
                <w:sz w:val="17"/>
                <w:szCs w:val="17"/>
                <w:color w:val="0000EE"/>
              </w:rPr>
            </w:pPr>
            <w:hyperlink r:id="rId32">
              <w:r>
                <w:rPr>
                  <w:rFonts w:ascii="Arial" w:cs="Arial" w:eastAsia="Arial" w:hAnsi="Arial"/>
                  <w:sz w:val="17"/>
                  <w:szCs w:val="17"/>
                  <w:color w:val="0000EE"/>
                </w:rPr>
                <w:t>2017 and incorporated herein by reference).</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40" w:type="dxa"/>
            <w:vAlign w:val="bottom"/>
          </w:tcPr>
          <w:p>
            <w:pPr>
              <w:spacing w:after="0"/>
              <w:rPr>
                <w:sz w:val="20"/>
                <w:szCs w:val="20"/>
                <w:color w:val="auto"/>
              </w:rPr>
            </w:pPr>
            <w:r>
              <w:rPr>
                <w:rFonts w:ascii="Arial" w:cs="Arial" w:eastAsia="Arial" w:hAnsi="Arial"/>
                <w:sz w:val="17"/>
                <w:szCs w:val="17"/>
                <w:color w:val="auto"/>
              </w:rPr>
              <w:t>5.1</w:t>
            </w:r>
          </w:p>
        </w:tc>
        <w:tc>
          <w:tcPr>
            <w:tcW w:w="560" w:type="dxa"/>
            <w:vAlign w:val="bottom"/>
          </w:tcPr>
          <w:p>
            <w:pPr>
              <w:spacing w:after="0"/>
              <w:rPr>
                <w:sz w:val="24"/>
                <w:szCs w:val="24"/>
                <w:color w:val="auto"/>
              </w:rPr>
            </w:pPr>
          </w:p>
        </w:tc>
        <w:tc>
          <w:tcPr>
            <w:tcW w:w="9900" w:type="dxa"/>
            <w:vAlign w:val="bottom"/>
            <w:tcBorders>
              <w:bottom w:val="single" w:sz="8" w:color="0000EE"/>
            </w:tcBorders>
            <w:gridSpan w:val="8"/>
          </w:tcPr>
          <w:p>
            <w:pPr>
              <w:spacing w:after="0"/>
              <w:rPr>
                <w:rFonts w:ascii="Arial" w:cs="Arial" w:eastAsia="Arial" w:hAnsi="Arial"/>
                <w:sz w:val="17"/>
                <w:szCs w:val="17"/>
                <w:color w:val="0000EE"/>
                <w:w w:val="92"/>
              </w:rPr>
            </w:pPr>
            <w:hyperlink w:anchor="page7">
              <w:r>
                <w:rPr>
                  <w:rFonts w:ascii="Arial" w:cs="Arial" w:eastAsia="Arial" w:hAnsi="Arial"/>
                  <w:sz w:val="17"/>
                  <w:szCs w:val="17"/>
                  <w:color w:val="0000EE"/>
                  <w:w w:val="92"/>
                </w:rPr>
                <w:t>Opinion of DLA Piper LLP (US) counsel for the Registrant, regarding the legal validity of the shares of Common Stock being registered on this</w:t>
              </w:r>
            </w:hyperlink>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140" w:type="dxa"/>
            <w:vAlign w:val="bottom"/>
            <w:gridSpan w:val="9"/>
          </w:tcPr>
          <w:p>
            <w:pPr>
              <w:spacing w:after="0" w:line="186" w:lineRule="exact"/>
              <w:rPr>
                <w:rFonts w:ascii="Arial" w:cs="Arial" w:eastAsia="Arial" w:hAnsi="Arial"/>
                <w:sz w:val="17"/>
                <w:szCs w:val="17"/>
                <w:color w:val="0000EE"/>
              </w:rPr>
            </w:pPr>
            <w:hyperlink w:anchor="page7">
              <w:r>
                <w:rPr>
                  <w:rFonts w:ascii="Arial" w:cs="Arial" w:eastAsia="Arial" w:hAnsi="Arial"/>
                  <w:sz w:val="17"/>
                  <w:szCs w:val="17"/>
                  <w:color w:val="0000EE"/>
                </w:rPr>
                <w:t>Registration Statement (filed herewith).</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40" w:type="dxa"/>
            <w:vAlign w:val="bottom"/>
          </w:tcPr>
          <w:p>
            <w:pPr>
              <w:spacing w:after="0"/>
              <w:rPr>
                <w:sz w:val="20"/>
                <w:szCs w:val="20"/>
                <w:color w:val="auto"/>
              </w:rPr>
            </w:pPr>
            <w:r>
              <w:rPr>
                <w:rFonts w:ascii="Arial" w:cs="Arial" w:eastAsia="Arial" w:hAnsi="Arial"/>
                <w:sz w:val="17"/>
                <w:szCs w:val="17"/>
                <w:color w:val="auto"/>
              </w:rPr>
              <w:t>23.1</w:t>
            </w:r>
          </w:p>
        </w:tc>
        <w:tc>
          <w:tcPr>
            <w:tcW w:w="560" w:type="dxa"/>
            <w:vAlign w:val="bottom"/>
          </w:tcPr>
          <w:p>
            <w:pPr>
              <w:spacing w:after="0"/>
              <w:rPr>
                <w:sz w:val="24"/>
                <w:szCs w:val="24"/>
                <w:color w:val="auto"/>
              </w:rPr>
            </w:pPr>
          </w:p>
        </w:tc>
        <w:tc>
          <w:tcPr>
            <w:tcW w:w="10140" w:type="dxa"/>
            <w:vAlign w:val="bottom"/>
            <w:gridSpan w:val="9"/>
          </w:tcPr>
          <w:p>
            <w:pPr>
              <w:spacing w:after="0"/>
              <w:rPr>
                <w:rFonts w:ascii="Arial" w:cs="Arial" w:eastAsia="Arial" w:hAnsi="Arial"/>
                <w:sz w:val="17"/>
                <w:szCs w:val="17"/>
                <w:color w:val="0000EE"/>
              </w:rPr>
            </w:pPr>
            <w:hyperlink w:anchor="page7">
              <w:r>
                <w:rPr>
                  <w:rFonts w:ascii="Arial" w:cs="Arial" w:eastAsia="Arial" w:hAnsi="Arial"/>
                  <w:sz w:val="17"/>
                  <w:szCs w:val="17"/>
                  <w:color w:val="0000EE"/>
                </w:rPr>
                <w:t>Consent of Counsel (contained in Exhibit 5.1).</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0" w:type="dxa"/>
            <w:vAlign w:val="bottom"/>
            <w:gridSpan w:val="3"/>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40" w:type="dxa"/>
            <w:vAlign w:val="bottom"/>
          </w:tcPr>
          <w:p>
            <w:pPr>
              <w:spacing w:after="0"/>
              <w:rPr>
                <w:sz w:val="20"/>
                <w:szCs w:val="20"/>
                <w:color w:val="auto"/>
              </w:rPr>
            </w:pPr>
            <w:r>
              <w:rPr>
                <w:rFonts w:ascii="Arial" w:cs="Arial" w:eastAsia="Arial" w:hAnsi="Arial"/>
                <w:sz w:val="17"/>
                <w:szCs w:val="17"/>
                <w:color w:val="auto"/>
              </w:rPr>
              <w:t>23.2</w:t>
            </w:r>
          </w:p>
        </w:tc>
        <w:tc>
          <w:tcPr>
            <w:tcW w:w="560" w:type="dxa"/>
            <w:vAlign w:val="bottom"/>
          </w:tcPr>
          <w:p>
            <w:pPr>
              <w:spacing w:after="0"/>
              <w:rPr>
                <w:sz w:val="24"/>
                <w:szCs w:val="24"/>
                <w:color w:val="auto"/>
              </w:rPr>
            </w:pPr>
          </w:p>
        </w:tc>
        <w:tc>
          <w:tcPr>
            <w:tcW w:w="5280" w:type="dxa"/>
            <w:vAlign w:val="bottom"/>
            <w:tcBorders>
              <w:bottom w:val="single" w:sz="8" w:color="0000EE"/>
            </w:tcBorders>
            <w:gridSpan w:val="5"/>
          </w:tcPr>
          <w:p>
            <w:pPr>
              <w:spacing w:after="0"/>
              <w:rPr>
                <w:rFonts w:ascii="Arial" w:cs="Arial" w:eastAsia="Arial" w:hAnsi="Arial"/>
                <w:sz w:val="17"/>
                <w:szCs w:val="17"/>
                <w:color w:val="0000EE"/>
                <w:w w:val="92"/>
              </w:rPr>
            </w:pPr>
            <w:hyperlink w:anchor="page8">
              <w:r>
                <w:rPr>
                  <w:rFonts w:ascii="Arial" w:cs="Arial" w:eastAsia="Arial" w:hAnsi="Arial"/>
                  <w:sz w:val="17"/>
                  <w:szCs w:val="17"/>
                  <w:color w:val="0000EE"/>
                  <w:w w:val="92"/>
                </w:rPr>
                <w:t>Consent of Independent Registered Public Accounting Firm (filed herewith).</w:t>
              </w:r>
            </w:hyperlink>
          </w:p>
        </w:tc>
        <w:tc>
          <w:tcPr>
            <w:tcW w:w="48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640" w:type="dxa"/>
            <w:vAlign w:val="bottom"/>
          </w:tcPr>
          <w:p>
            <w:pPr>
              <w:spacing w:after="0"/>
              <w:rPr>
                <w:sz w:val="20"/>
                <w:szCs w:val="20"/>
                <w:color w:val="auto"/>
              </w:rPr>
            </w:pPr>
            <w:r>
              <w:rPr>
                <w:rFonts w:ascii="Arial" w:cs="Arial" w:eastAsia="Arial" w:hAnsi="Arial"/>
                <w:sz w:val="17"/>
                <w:szCs w:val="17"/>
                <w:color w:val="auto"/>
              </w:rPr>
              <w:t>24.1</w:t>
            </w:r>
          </w:p>
        </w:tc>
        <w:tc>
          <w:tcPr>
            <w:tcW w:w="560" w:type="dxa"/>
            <w:vAlign w:val="bottom"/>
          </w:tcPr>
          <w:p>
            <w:pPr>
              <w:spacing w:after="0"/>
              <w:rPr>
                <w:sz w:val="24"/>
                <w:szCs w:val="24"/>
                <w:color w:val="auto"/>
              </w:rPr>
            </w:pPr>
          </w:p>
        </w:tc>
        <w:tc>
          <w:tcPr>
            <w:tcW w:w="10140" w:type="dxa"/>
            <w:vAlign w:val="bottom"/>
            <w:gridSpan w:val="9"/>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Power of Attorney (contained on signature page of this Registration Statement).</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0" w:type="dxa"/>
            <w:vAlign w:val="bottom"/>
            <w:gridSpan w:val="4"/>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40" w:type="dxa"/>
            <w:vAlign w:val="bottom"/>
          </w:tcPr>
          <w:p>
            <w:pPr>
              <w:spacing w:after="0"/>
              <w:rPr>
                <w:sz w:val="20"/>
                <w:szCs w:val="20"/>
                <w:color w:val="auto"/>
              </w:rPr>
            </w:pPr>
            <w:r>
              <w:rPr>
                <w:rFonts w:ascii="Arial" w:cs="Arial" w:eastAsia="Arial" w:hAnsi="Arial"/>
                <w:sz w:val="17"/>
                <w:szCs w:val="17"/>
                <w:color w:val="auto"/>
              </w:rPr>
              <w:t>99.1</w:t>
            </w:r>
          </w:p>
        </w:tc>
        <w:tc>
          <w:tcPr>
            <w:tcW w:w="560" w:type="dxa"/>
            <w:vAlign w:val="bottom"/>
          </w:tcPr>
          <w:p>
            <w:pPr>
              <w:spacing w:after="0"/>
              <w:rPr>
                <w:sz w:val="24"/>
                <w:szCs w:val="24"/>
                <w:color w:val="auto"/>
              </w:rPr>
            </w:pPr>
          </w:p>
        </w:tc>
        <w:tc>
          <w:tcPr>
            <w:tcW w:w="10140" w:type="dxa"/>
            <w:vAlign w:val="bottom"/>
            <w:tcBorders>
              <w:bottom w:val="single" w:sz="8" w:color="0000EE"/>
            </w:tcBorders>
            <w:gridSpan w:val="9"/>
          </w:tcPr>
          <w:p>
            <w:pPr>
              <w:spacing w:after="0"/>
              <w:rPr>
                <w:rFonts w:ascii="Arial" w:cs="Arial" w:eastAsia="Arial" w:hAnsi="Arial"/>
                <w:sz w:val="17"/>
                <w:szCs w:val="17"/>
                <w:color w:val="0000EE"/>
                <w:w w:val="93"/>
              </w:rPr>
            </w:pPr>
            <w:hyperlink r:id="rId33">
              <w:r>
                <w:rPr>
                  <w:rFonts w:ascii="Arial" w:cs="Arial" w:eastAsia="Arial" w:hAnsi="Arial"/>
                  <w:sz w:val="17"/>
                  <w:szCs w:val="17"/>
                  <w:color w:val="0000EE"/>
                  <w:w w:val="93"/>
                </w:rPr>
                <w:t>Marchex, Inc. 2021 Stock Incentive Plan (Filed with Appendix A of the Registrant’s Definitive Proxy Statement on Schedule 14A filed with the SE</w:t>
              </w:r>
            </w:hyperlink>
          </w:p>
        </w:tc>
        <w:tc>
          <w:tcPr>
            <w:tcW w:w="0" w:type="dxa"/>
            <w:vAlign w:val="bottom"/>
          </w:tcPr>
          <w:p>
            <w:pPr>
              <w:spacing w:after="0"/>
              <w:rPr>
                <w:sz w:val="1"/>
                <w:szCs w:val="1"/>
                <w:color w:val="auto"/>
              </w:rPr>
            </w:pPr>
          </w:p>
        </w:tc>
      </w:tr>
      <w:tr>
        <w:trPr>
          <w:trHeight w:val="187"/>
        </w:trPr>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140" w:type="dxa"/>
            <w:vAlign w:val="bottom"/>
            <w:gridSpan w:val="9"/>
          </w:tcPr>
          <w:p>
            <w:pPr>
              <w:spacing w:after="0" w:line="186" w:lineRule="exact"/>
              <w:rPr>
                <w:rFonts w:ascii="Arial" w:cs="Arial" w:eastAsia="Arial" w:hAnsi="Arial"/>
                <w:sz w:val="17"/>
                <w:szCs w:val="17"/>
                <w:color w:val="0000EE"/>
              </w:rPr>
            </w:pPr>
            <w:hyperlink r:id="rId33">
              <w:r>
                <w:rPr>
                  <w:rFonts w:ascii="Arial" w:cs="Arial" w:eastAsia="Arial" w:hAnsi="Arial"/>
                  <w:sz w:val="17"/>
                  <w:szCs w:val="17"/>
                  <w:color w:val="0000EE"/>
                </w:rPr>
                <w:t>August 20, 2021 and incorporated herein by reference).</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5"/>
          <w:szCs w:val="15"/>
          <w:b w:val="1"/>
          <w:bCs w:val="1"/>
          <w:color w:val="auto"/>
        </w:rPr>
        <w:t>Undertakings.</w:t>
      </w:r>
    </w:p>
    <w:p>
      <w:pPr>
        <w:spacing w:after="0" w:line="9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undersigned Registrant hereby undertakes:</w:t>
      </w:r>
    </w:p>
    <w:p>
      <w:pPr>
        <w:spacing w:after="0" w:line="76" w:lineRule="exact"/>
        <w:rPr>
          <w:sz w:val="20"/>
          <w:szCs w:val="20"/>
          <w:color w:val="auto"/>
        </w:rPr>
      </w:pPr>
    </w:p>
    <w:p>
      <w:pPr>
        <w:ind w:left="1140" w:hanging="239"/>
        <w:spacing w:after="0"/>
        <w:tabs>
          <w:tab w:leader="none" w:pos="11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75" w:lineRule="exact"/>
        <w:rPr>
          <w:rFonts w:ascii="Arial" w:cs="Arial" w:eastAsia="Arial" w:hAnsi="Arial"/>
          <w:sz w:val="17"/>
          <w:szCs w:val="17"/>
          <w:color w:val="auto"/>
        </w:rPr>
      </w:pPr>
    </w:p>
    <w:p>
      <w:pPr>
        <w:ind w:left="2500" w:hanging="205"/>
        <w:spacing w:after="0"/>
        <w:tabs>
          <w:tab w:leader="none" w:pos="2500" w:val="left"/>
        </w:tabs>
        <w:numPr>
          <w:ilvl w:val="1"/>
          <w:numId w:val="5"/>
        </w:numPr>
        <w:rPr>
          <w:rFonts w:ascii="Arial" w:cs="Arial" w:eastAsia="Arial" w:hAnsi="Arial"/>
          <w:sz w:val="17"/>
          <w:szCs w:val="17"/>
          <w:color w:val="auto"/>
        </w:rPr>
      </w:pPr>
      <w:r>
        <w:rPr>
          <w:rFonts w:ascii="Arial" w:cs="Arial" w:eastAsia="Arial" w:hAnsi="Arial"/>
          <w:sz w:val="17"/>
          <w:szCs w:val="17"/>
          <w:color w:val="auto"/>
        </w:rPr>
        <w:t>To include any prospectus required by Section 10(a)(3) of the Securities Act;</w:t>
      </w:r>
    </w:p>
    <w:p>
      <w:pPr>
        <w:spacing w:after="0" w:line="88" w:lineRule="exact"/>
        <w:rPr>
          <w:rFonts w:ascii="Arial" w:cs="Arial" w:eastAsia="Arial" w:hAnsi="Arial"/>
          <w:sz w:val="17"/>
          <w:szCs w:val="17"/>
          <w:color w:val="auto"/>
        </w:rPr>
      </w:pPr>
    </w:p>
    <w:p>
      <w:pPr>
        <w:jc w:val="both"/>
        <w:ind w:left="1800" w:right="100" w:firstLine="495"/>
        <w:spacing w:after="0" w:line="266" w:lineRule="auto"/>
        <w:tabs>
          <w:tab w:leader="none" w:pos="2548" w:val="left"/>
        </w:tabs>
        <w:numPr>
          <w:ilvl w:val="1"/>
          <w:numId w:val="5"/>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w:t>
      </w:r>
    </w:p>
    <w:p>
      <w:pPr>
        <w:spacing w:after="0" w:line="34" w:lineRule="exact"/>
        <w:rPr>
          <w:rFonts w:ascii="Arial" w:cs="Arial" w:eastAsia="Arial" w:hAnsi="Arial"/>
          <w:sz w:val="17"/>
          <w:szCs w:val="17"/>
          <w:color w:val="auto"/>
        </w:rPr>
      </w:pPr>
    </w:p>
    <w:p>
      <w:pPr>
        <w:ind w:left="1800" w:right="560" w:firstLine="495"/>
        <w:spacing w:after="0" w:line="280" w:lineRule="auto"/>
        <w:tabs>
          <w:tab w:leader="none" w:pos="2596" w:val="left"/>
        </w:tabs>
        <w:numPr>
          <w:ilvl w:val="1"/>
          <w:numId w:val="5"/>
        </w:numPr>
        <w:rPr>
          <w:rFonts w:ascii="Arial" w:cs="Arial" w:eastAsia="Arial" w:hAnsi="Arial"/>
          <w:sz w:val="17"/>
          <w:szCs w:val="17"/>
          <w:color w:val="auto"/>
        </w:rPr>
      </w:pPr>
      <w:r>
        <w:rPr>
          <w:rFonts w:ascii="Arial" w:cs="Arial" w:eastAsia="Arial" w:hAnsi="Arial"/>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21" w:lineRule="exact"/>
        <w:rPr>
          <w:sz w:val="20"/>
          <w:szCs w:val="20"/>
          <w:color w:val="auto"/>
        </w:rPr>
      </w:pPr>
    </w:p>
    <w:p>
      <w:pPr>
        <w:jc w:val="both"/>
        <w:ind w:left="900" w:right="100" w:firstLine="542"/>
        <w:spacing w:after="0" w:line="266" w:lineRule="auto"/>
        <w:rPr>
          <w:sz w:val="20"/>
          <w:szCs w:val="20"/>
          <w:color w:val="auto"/>
        </w:rPr>
      </w:pPr>
      <w:r>
        <w:rPr>
          <w:rFonts w:ascii="Arial" w:cs="Arial" w:eastAsia="Arial" w:hAnsi="Arial"/>
          <w:sz w:val="17"/>
          <w:szCs w:val="17"/>
          <w:color w:val="auto"/>
        </w:rPr>
        <w:t>Paragraphs (l)(i) and (l)(ii) above do not apply if the information required to be included in a post-effective amendment by those paragraphs is contained in periodic reports filed with or furnished to the Commission by the Registrant pursuant to Section 13 or Section 15(d) of the Exchange Act that are incorporated by reference in this Registration Statement.</w:t>
      </w:r>
    </w:p>
    <w:p>
      <w:pPr>
        <w:spacing w:after="0" w:line="47" w:lineRule="exact"/>
        <w:rPr>
          <w:sz w:val="20"/>
          <w:szCs w:val="20"/>
          <w:color w:val="auto"/>
        </w:rPr>
      </w:pPr>
    </w:p>
    <w:p>
      <w:pPr>
        <w:ind w:left="900" w:right="360" w:firstLine="1"/>
        <w:spacing w:after="0" w:line="266" w:lineRule="auto"/>
        <w:tabs>
          <w:tab w:leader="none" w:pos="1144" w:val="left"/>
        </w:tabs>
        <w:numPr>
          <w:ilvl w:val="0"/>
          <w:numId w:val="6"/>
        </w:numPr>
        <w:rPr>
          <w:rFonts w:ascii="Arial" w:cs="Arial" w:eastAsia="Arial" w:hAnsi="Arial"/>
          <w:sz w:val="17"/>
          <w:szCs w:val="17"/>
          <w:color w:val="auto"/>
        </w:rPr>
      </w:pPr>
      <w:r>
        <w:rPr>
          <w:rFonts w:ascii="Arial" w:cs="Arial" w:eastAsia="Arial" w:hAnsi="Arial"/>
          <w:sz w:val="17"/>
          <w:szCs w:val="17"/>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34" w:lineRule="exact"/>
        <w:rPr>
          <w:rFonts w:ascii="Arial" w:cs="Arial" w:eastAsia="Arial" w:hAnsi="Arial"/>
          <w:sz w:val="17"/>
          <w:szCs w:val="17"/>
          <w:color w:val="auto"/>
        </w:rPr>
      </w:pPr>
    </w:p>
    <w:p>
      <w:pPr>
        <w:ind w:left="900" w:right="100" w:firstLine="1"/>
        <w:spacing w:after="0" w:line="280" w:lineRule="auto"/>
        <w:tabs>
          <w:tab w:leader="none" w:pos="1144"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remove from registration by means of a post-effective amendment any of the securities being registered which remain unsold at the termination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189230</wp:posOffset>
            </wp:positionV>
            <wp:extent cx="717994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extLst>
                    </a:blip>
                    <a:srcRect/>
                    <a:stretch>
                      <a:fillRect/>
                    </a:stretch>
                  </pic:blipFill>
                  <pic:spPr bwMode="auto">
                    <a:xfrm>
                      <a:off x="0" y="0"/>
                      <a:ext cx="7179945" cy="41910"/>
                    </a:xfrm>
                    <a:prstGeom prst="rect">
                      <a:avLst/>
                    </a:prstGeom>
                    <a:noFill/>
                  </pic:spPr>
                </pic:pic>
              </a:graphicData>
            </a:graphic>
          </wp:anchor>
        </w:drawing>
      </w:r>
    </w:p>
    <w:p>
      <w:pPr>
        <w:sectPr>
          <w:pgSz w:w="11900" w:h="16838" w:orient="portrait"/>
          <w:cols w:equalWidth="0" w:num="1">
            <w:col w:w="11340"/>
          </w:cols>
          <w:pgMar w:left="320" w:top="501" w:right="239" w:bottom="1440" w:gutter="0" w:footer="0" w:header="0"/>
        </w:sectPr>
      </w:pPr>
    </w:p>
    <w:bookmarkStart w:id="4" w:name="page5"/>
    <w:bookmarkEnd w:id="4"/>
    <w:p>
      <w:pPr>
        <w:ind w:right="120" w:firstLine="589"/>
        <w:spacing w:after="0" w:line="283" w:lineRule="auto"/>
        <w:rPr>
          <w:sz w:val="20"/>
          <w:szCs w:val="20"/>
          <w:color w:val="auto"/>
        </w:rPr>
      </w:pPr>
      <w:r>
        <w:rPr>
          <w:rFonts w:ascii="Arial" w:cs="Arial" w:eastAsia="Arial" w:hAnsi="Arial"/>
          <w:sz w:val="16"/>
          <w:szCs w:val="16"/>
          <w:color w:val="auto"/>
        </w:rPr>
        <w:t>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13" w:lineRule="exact"/>
        <w:rPr>
          <w:sz w:val="20"/>
          <w:szCs w:val="20"/>
          <w:color w:val="auto"/>
        </w:rPr>
      </w:pPr>
    </w:p>
    <w:p>
      <w:pPr>
        <w:ind w:firstLine="589"/>
        <w:spacing w:after="0" w:line="276"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193675</wp:posOffset>
            </wp:positionV>
            <wp:extent cx="717994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extLst>
                    </a:blip>
                    <a:srcRect/>
                    <a:stretch>
                      <a:fillRect/>
                    </a:stretch>
                  </pic:blipFill>
                  <pic:spPr bwMode="auto">
                    <a:xfrm>
                      <a:off x="0" y="0"/>
                      <a:ext cx="7179945" cy="41910"/>
                    </a:xfrm>
                    <a:prstGeom prst="rect">
                      <a:avLst/>
                    </a:prstGeom>
                    <a:noFill/>
                  </pic:spPr>
                </pic:pic>
              </a:graphicData>
            </a:graphic>
          </wp:anchor>
        </w:drawing>
      </w:r>
    </w:p>
    <w:p>
      <w:pPr>
        <w:sectPr>
          <w:pgSz w:w="11900" w:h="16838" w:orient="portrait"/>
          <w:cols w:equalWidth="0" w:num="1">
            <w:col w:w="11220"/>
          </w:cols>
          <w:pgMar w:left="320" w:top="501" w:right="359" w:bottom="1440" w:gutter="0" w:footer="0" w:header="0"/>
        </w:sectPr>
      </w:pPr>
    </w:p>
    <w:bookmarkStart w:id="5" w:name="page6"/>
    <w:bookmarkEnd w:id="5"/>
    <w:p>
      <w:pPr>
        <w:jc w:val="center"/>
        <w:ind w:right="100"/>
        <w:spacing w:after="0"/>
        <w:rPr>
          <w:sz w:val="20"/>
          <w:szCs w:val="20"/>
          <w:color w:val="auto"/>
        </w:rPr>
      </w:pPr>
      <w:r>
        <w:rPr>
          <w:rFonts w:ascii="Arial" w:cs="Arial" w:eastAsia="Arial" w:hAnsi="Arial"/>
          <w:sz w:val="17"/>
          <w:szCs w:val="17"/>
          <w:b w:val="1"/>
          <w:bCs w:val="1"/>
          <w:color w:val="auto"/>
        </w:rPr>
        <w:t>SIGNATURES</w:t>
      </w:r>
    </w:p>
    <w:p>
      <w:pPr>
        <w:spacing w:after="0" w:line="172" w:lineRule="exact"/>
        <w:rPr>
          <w:sz w:val="20"/>
          <w:szCs w:val="20"/>
          <w:color w:val="auto"/>
        </w:rPr>
      </w:pPr>
    </w:p>
    <w:p>
      <w:pPr>
        <w:jc w:val="both"/>
        <w:ind w:right="220" w:firstLine="589"/>
        <w:spacing w:after="0" w:line="266" w:lineRule="auto"/>
        <w:rPr>
          <w:sz w:val="20"/>
          <w:szCs w:val="20"/>
          <w:color w:val="auto"/>
        </w:rPr>
      </w:pPr>
      <w:r>
        <w:rPr>
          <w:rFonts w:ascii="Arial" w:cs="Arial" w:eastAsia="Arial" w:hAnsi="Arial"/>
          <w:sz w:val="17"/>
          <w:szCs w:val="17"/>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Seattle, State of Washington, on December 22, 2021.</w:t>
      </w:r>
    </w:p>
    <w:p>
      <w:pPr>
        <w:spacing w:after="0" w:line="383"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Marchex, Inc.</w:t>
      </w:r>
    </w:p>
    <w:p>
      <w:pPr>
        <w:spacing w:after="0" w:line="243" w:lineRule="exact"/>
        <w:rPr>
          <w:sz w:val="20"/>
          <w:szCs w:val="20"/>
          <w:color w:val="auto"/>
        </w:rPr>
      </w:pPr>
    </w:p>
    <w:p>
      <w:pPr>
        <w:ind w:left="6760"/>
        <w:spacing w:after="0"/>
        <w:tabs>
          <w:tab w:leader="none" w:pos="82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Michael A. Arends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4460240</wp:posOffset>
            </wp:positionH>
            <wp:positionV relativeFrom="paragraph">
              <wp:posOffset>14605</wp:posOffset>
            </wp:positionV>
            <wp:extent cx="2679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extLst>
                    </a:blip>
                    <a:srcRect/>
                    <a:stretch>
                      <a:fillRect/>
                    </a:stretch>
                  </pic:blipFill>
                  <pic:spPr bwMode="auto">
                    <a:xfrm>
                      <a:off x="0" y="0"/>
                      <a:ext cx="2679700" cy="8255"/>
                    </a:xfrm>
                    <a:prstGeom prst="rect">
                      <a:avLst/>
                    </a:prstGeom>
                    <a:noFill/>
                  </pic:spPr>
                </pic:pic>
              </a:graphicData>
            </a:graphic>
          </wp:anchor>
        </w:drawing>
      </w:r>
    </w:p>
    <w:p>
      <w:pPr>
        <w:spacing w:after="0" w:line="24" w:lineRule="exact"/>
        <w:rPr>
          <w:sz w:val="20"/>
          <w:szCs w:val="20"/>
          <w:color w:val="auto"/>
        </w:rPr>
      </w:pPr>
    </w:p>
    <w:p>
      <w:pPr>
        <w:jc w:val="center"/>
        <w:ind w:left="7100"/>
        <w:spacing w:after="0"/>
        <w:rPr>
          <w:sz w:val="20"/>
          <w:szCs w:val="20"/>
          <w:color w:val="auto"/>
        </w:rPr>
      </w:pPr>
      <w:r>
        <w:rPr>
          <w:rFonts w:ascii="Arial" w:cs="Arial" w:eastAsia="Arial" w:hAnsi="Arial"/>
          <w:sz w:val="17"/>
          <w:szCs w:val="17"/>
          <w:b w:val="1"/>
          <w:bCs w:val="1"/>
          <w:color w:val="auto"/>
        </w:rPr>
        <w:t>Michael A. Arends</w:t>
      </w:r>
    </w:p>
    <w:p>
      <w:pPr>
        <w:spacing w:after="0" w:line="28" w:lineRule="exact"/>
        <w:rPr>
          <w:sz w:val="20"/>
          <w:szCs w:val="20"/>
          <w:color w:val="auto"/>
        </w:rPr>
      </w:pPr>
    </w:p>
    <w:p>
      <w:pPr>
        <w:jc w:val="center"/>
        <w:ind w:left="7100"/>
        <w:spacing w:after="0"/>
        <w:rPr>
          <w:sz w:val="20"/>
          <w:szCs w:val="20"/>
          <w:color w:val="auto"/>
        </w:rPr>
      </w:pPr>
      <w:r>
        <w:rPr>
          <w:rFonts w:ascii="Arial" w:cs="Arial" w:eastAsia="Arial" w:hAnsi="Arial"/>
          <w:sz w:val="17"/>
          <w:szCs w:val="17"/>
          <w:b w:val="1"/>
          <w:bCs w:val="1"/>
          <w:color w:val="auto"/>
        </w:rPr>
        <w:t>Co-CEO</w:t>
      </w:r>
    </w:p>
    <w:p>
      <w:pPr>
        <w:spacing w:after="0" w:line="11" w:lineRule="exact"/>
        <w:rPr>
          <w:sz w:val="20"/>
          <w:szCs w:val="20"/>
          <w:color w:val="auto"/>
        </w:rPr>
      </w:pPr>
    </w:p>
    <w:p>
      <w:pPr>
        <w:ind w:left="730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5"/>
          <w:szCs w:val="15"/>
          <w:b w:val="1"/>
          <w:bCs w:val="1"/>
          <w:color w:val="auto"/>
        </w:rPr>
        <w:t>Principal Executive Officer for SEC reporting purposes)</w:t>
      </w:r>
    </w:p>
    <w:p>
      <w:pPr>
        <w:spacing w:after="0" w:line="10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POWER OF ATTORNEY</w:t>
      </w:r>
    </w:p>
    <w:p>
      <w:pPr>
        <w:spacing w:after="0" w:line="172" w:lineRule="exact"/>
        <w:rPr>
          <w:sz w:val="20"/>
          <w:szCs w:val="20"/>
          <w:color w:val="auto"/>
        </w:rPr>
      </w:pPr>
    </w:p>
    <w:p>
      <w:pPr>
        <w:ind w:right="120" w:firstLine="589"/>
        <w:spacing w:after="0" w:line="278" w:lineRule="auto"/>
        <w:rPr>
          <w:sz w:val="20"/>
          <w:szCs w:val="20"/>
          <w:color w:val="auto"/>
        </w:rPr>
      </w:pPr>
      <w:r>
        <w:rPr>
          <w:rFonts w:ascii="Arial" w:cs="Arial" w:eastAsia="Arial" w:hAnsi="Arial"/>
          <w:sz w:val="16"/>
          <w:szCs w:val="16"/>
          <w:color w:val="auto"/>
        </w:rPr>
        <w:t>We, the undersigned officers and directors of Marchex, Inc., hereby severally constitute and appoint Michael A. Arends and Francis J. Feeney, and each of them singly, our true and lawful attorneys with full power to them, and each of them singly, to sign for us and in our names in the capacities indicated below, the registration statement on Form S-8 filed herewith and any and all subsequent amendments to said registration statement, and generally to do all such things in our names and on our behalf in our capacities as officers and directors to enable Marchex, Inc. to comply with the provisions of the Securities Act, as amended, and all requirements of the Securities and Exchange Commission, hereby ratifying the confirming our signatures as they may be signed by our said attorneys, or any of them, to said registration statement and any and all amendments thereto.</w:t>
      </w:r>
    </w:p>
    <w:p>
      <w:pPr>
        <w:spacing w:after="0" w:line="115" w:lineRule="exact"/>
        <w:rPr>
          <w:sz w:val="20"/>
          <w:szCs w:val="20"/>
          <w:color w:val="auto"/>
        </w:rPr>
      </w:pPr>
    </w:p>
    <w:p>
      <w:pPr>
        <w:ind w:right="280" w:firstLine="589"/>
        <w:spacing w:after="0" w:line="280" w:lineRule="auto"/>
        <w:rPr>
          <w:sz w:val="20"/>
          <w:szCs w:val="20"/>
          <w:color w:val="auto"/>
        </w:rPr>
      </w:pPr>
      <w:r>
        <w:rPr>
          <w:rFonts w:ascii="Arial" w:cs="Arial" w:eastAsia="Arial" w:hAnsi="Arial"/>
          <w:sz w:val="17"/>
          <w:szCs w:val="17"/>
          <w:color w:val="auto"/>
        </w:rPr>
        <w:t>Pursuant to the requirements of the Securities Act, this registration statement has been signed by the following persons in the capacities and on the dates indicated.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Signature</w:t>
            </w:r>
          </w:p>
        </w:tc>
        <w:tc>
          <w:tcPr>
            <w:tcW w:w="560" w:type="dxa"/>
            <w:vAlign w:val="bottom"/>
          </w:tcPr>
          <w:p>
            <w:pPr>
              <w:spacing w:after="0"/>
              <w:rPr>
                <w:sz w:val="13"/>
                <w:szCs w:val="13"/>
                <w:color w:val="auto"/>
              </w:rPr>
            </w:pPr>
          </w:p>
        </w:tc>
        <w:tc>
          <w:tcPr>
            <w:tcW w:w="3860" w:type="dxa"/>
            <w:vAlign w:val="bottom"/>
            <w:tcBorders>
              <w:bottom w:val="single" w:sz="8" w:color="auto"/>
            </w:tcBorders>
          </w:tcPr>
          <w:p>
            <w:pPr>
              <w:jc w:val="center"/>
              <w:ind w:left="437"/>
              <w:spacing w:after="0"/>
              <w:rPr>
                <w:sz w:val="20"/>
                <w:szCs w:val="20"/>
                <w:color w:val="auto"/>
              </w:rPr>
            </w:pPr>
            <w:r>
              <w:rPr>
                <w:rFonts w:ascii="Arial" w:cs="Arial" w:eastAsia="Arial" w:hAnsi="Arial"/>
                <w:sz w:val="13"/>
                <w:szCs w:val="13"/>
                <w:b w:val="1"/>
                <w:bCs w:val="1"/>
                <w:color w:val="auto"/>
                <w:w w:val="92"/>
              </w:rPr>
              <w:t>Date</w:t>
            </w:r>
          </w:p>
        </w:tc>
        <w:tc>
          <w:tcPr>
            <w:tcW w:w="0" w:type="dxa"/>
            <w:vAlign w:val="bottom"/>
          </w:tcPr>
          <w:p>
            <w:pPr>
              <w:spacing w:after="0"/>
              <w:rPr>
                <w:sz w:val="1"/>
                <w:szCs w:val="1"/>
                <w:color w:val="auto"/>
              </w:rPr>
            </w:pPr>
          </w:p>
        </w:tc>
      </w:tr>
      <w:tr>
        <w:trPr>
          <w:trHeight w:val="430"/>
        </w:trPr>
        <w:tc>
          <w:tcPr>
            <w:tcW w:w="69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4"/>
              </w:rPr>
              <w:t>/s/ Michael A. Arends</w:t>
            </w:r>
          </w:p>
        </w:tc>
        <w:tc>
          <w:tcPr>
            <w:tcW w:w="560" w:type="dxa"/>
            <w:vAlign w:val="bottom"/>
          </w:tcPr>
          <w:p>
            <w:pPr>
              <w:spacing w:after="0"/>
              <w:rPr>
                <w:sz w:val="24"/>
                <w:szCs w:val="24"/>
                <w:color w:val="auto"/>
              </w:rPr>
            </w:pPr>
          </w:p>
        </w:tc>
        <w:tc>
          <w:tcPr>
            <w:tcW w:w="3860" w:type="dxa"/>
            <w:vAlign w:val="bottom"/>
            <w:vMerge w:val="restart"/>
          </w:tcPr>
          <w:p>
            <w:pPr>
              <w:jc w:val="center"/>
              <w:ind w:left="457"/>
              <w:spacing w:after="0"/>
              <w:rPr>
                <w:sz w:val="20"/>
                <w:szCs w:val="20"/>
                <w:color w:val="auto"/>
              </w:rPr>
            </w:pPr>
            <w:r>
              <w:rPr>
                <w:rFonts w:ascii="Arial" w:cs="Arial" w:eastAsia="Arial" w:hAnsi="Arial"/>
                <w:sz w:val="17"/>
                <w:szCs w:val="17"/>
                <w:color w:val="auto"/>
                <w:w w:val="91"/>
              </w:rPr>
              <w:t>December 22, 2021</w:t>
            </w:r>
          </w:p>
        </w:tc>
        <w:tc>
          <w:tcPr>
            <w:tcW w:w="0" w:type="dxa"/>
            <w:vAlign w:val="bottom"/>
          </w:tcPr>
          <w:p>
            <w:pPr>
              <w:spacing w:after="0"/>
              <w:rPr>
                <w:sz w:val="1"/>
                <w:szCs w:val="1"/>
                <w:color w:val="auto"/>
              </w:rPr>
            </w:pPr>
          </w:p>
        </w:tc>
      </w:tr>
      <w:tr>
        <w:trPr>
          <w:trHeight w:val="70"/>
        </w:trPr>
        <w:tc>
          <w:tcPr>
            <w:tcW w:w="6920" w:type="dxa"/>
            <w:vAlign w:val="bottom"/>
            <w:vMerge w:val="restart"/>
          </w:tcPr>
          <w:p>
            <w:pPr>
              <w:jc w:val="center"/>
              <w:spacing w:after="0" w:line="183" w:lineRule="exact"/>
              <w:rPr>
                <w:sz w:val="20"/>
                <w:szCs w:val="20"/>
                <w:color w:val="auto"/>
              </w:rPr>
            </w:pPr>
            <w:r>
              <w:rPr>
                <w:rFonts w:ascii="Arial" w:cs="Arial" w:eastAsia="Arial" w:hAnsi="Arial"/>
                <w:sz w:val="17"/>
                <w:szCs w:val="17"/>
                <w:b w:val="1"/>
                <w:bCs w:val="1"/>
                <w:color w:val="auto"/>
                <w:w w:val="92"/>
              </w:rPr>
              <w:t>Michael Arends</w:t>
            </w:r>
          </w:p>
        </w:tc>
        <w:tc>
          <w:tcPr>
            <w:tcW w:w="560" w:type="dxa"/>
            <w:vAlign w:val="bottom"/>
          </w:tcPr>
          <w:p>
            <w:pPr>
              <w:spacing w:after="0"/>
              <w:rPr>
                <w:sz w:val="6"/>
                <w:szCs w:val="6"/>
                <w:color w:val="auto"/>
              </w:rPr>
            </w:pPr>
          </w:p>
        </w:tc>
        <w:tc>
          <w:tcPr>
            <w:tcW w:w="3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69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3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6920" w:type="dxa"/>
            <w:vAlign w:val="bottom"/>
          </w:tcPr>
          <w:p>
            <w:pPr>
              <w:jc w:val="center"/>
              <w:spacing w:after="0"/>
              <w:rPr>
                <w:sz w:val="20"/>
                <w:szCs w:val="20"/>
                <w:color w:val="auto"/>
              </w:rPr>
            </w:pPr>
            <w:r>
              <w:rPr>
                <w:rFonts w:ascii="Arial" w:cs="Arial" w:eastAsia="Arial" w:hAnsi="Arial"/>
                <w:sz w:val="17"/>
                <w:szCs w:val="17"/>
                <w:b w:val="1"/>
                <w:bCs w:val="1"/>
                <w:color w:val="auto"/>
                <w:w w:val="98"/>
              </w:rPr>
              <w:t>Co-CEO</w:t>
            </w:r>
          </w:p>
        </w:tc>
        <w:tc>
          <w:tcPr>
            <w:tcW w:w="5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920" w:type="dxa"/>
            <w:vAlign w:val="bottom"/>
          </w:tcPr>
          <w:p>
            <w:pPr>
              <w:jc w:val="center"/>
              <w:spacing w:after="0"/>
              <w:rPr>
                <w:sz w:val="20"/>
                <w:szCs w:val="20"/>
                <w:color w:val="auto"/>
              </w:rPr>
            </w:pPr>
            <w:r>
              <w:rPr>
                <w:rFonts w:ascii="Arial" w:cs="Arial" w:eastAsia="Arial" w:hAnsi="Arial"/>
                <w:sz w:val="17"/>
                <w:szCs w:val="17"/>
                <w:b w:val="1"/>
                <w:bCs w:val="1"/>
                <w:color w:val="auto"/>
                <w:w w:val="92"/>
              </w:rPr>
              <w:t>(Principal Executive Officer for SEC reporting purposes)</w:t>
            </w:r>
          </w:p>
        </w:tc>
        <w:tc>
          <w:tcPr>
            <w:tcW w:w="5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69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5"/>
              </w:rPr>
              <w:t>/s/ Leila Kirske</w:t>
            </w:r>
          </w:p>
        </w:tc>
        <w:tc>
          <w:tcPr>
            <w:tcW w:w="560" w:type="dxa"/>
            <w:vAlign w:val="bottom"/>
          </w:tcPr>
          <w:p>
            <w:pPr>
              <w:spacing w:after="0"/>
              <w:rPr>
                <w:sz w:val="24"/>
                <w:szCs w:val="24"/>
                <w:color w:val="auto"/>
              </w:rPr>
            </w:pPr>
          </w:p>
        </w:tc>
        <w:tc>
          <w:tcPr>
            <w:tcW w:w="3860" w:type="dxa"/>
            <w:vAlign w:val="bottom"/>
            <w:vMerge w:val="restart"/>
          </w:tcPr>
          <w:p>
            <w:pPr>
              <w:jc w:val="center"/>
              <w:ind w:left="457"/>
              <w:spacing w:after="0"/>
              <w:rPr>
                <w:sz w:val="20"/>
                <w:szCs w:val="20"/>
                <w:color w:val="auto"/>
              </w:rPr>
            </w:pPr>
            <w:r>
              <w:rPr>
                <w:rFonts w:ascii="Arial" w:cs="Arial" w:eastAsia="Arial" w:hAnsi="Arial"/>
                <w:sz w:val="17"/>
                <w:szCs w:val="17"/>
                <w:color w:val="auto"/>
                <w:w w:val="91"/>
              </w:rPr>
              <w:t>December 22, 2021</w:t>
            </w:r>
          </w:p>
        </w:tc>
        <w:tc>
          <w:tcPr>
            <w:tcW w:w="0" w:type="dxa"/>
            <w:vAlign w:val="bottom"/>
          </w:tcPr>
          <w:p>
            <w:pPr>
              <w:spacing w:after="0"/>
              <w:rPr>
                <w:sz w:val="1"/>
                <w:szCs w:val="1"/>
                <w:color w:val="auto"/>
              </w:rPr>
            </w:pPr>
          </w:p>
        </w:tc>
      </w:tr>
      <w:tr>
        <w:trPr>
          <w:trHeight w:val="70"/>
        </w:trPr>
        <w:tc>
          <w:tcPr>
            <w:tcW w:w="692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6"/>
              </w:rPr>
              <w:t>Leila Kirske</w:t>
            </w:r>
          </w:p>
        </w:tc>
        <w:tc>
          <w:tcPr>
            <w:tcW w:w="560" w:type="dxa"/>
            <w:vAlign w:val="bottom"/>
          </w:tcPr>
          <w:p>
            <w:pPr>
              <w:spacing w:after="0"/>
              <w:rPr>
                <w:sz w:val="6"/>
                <w:szCs w:val="6"/>
                <w:color w:val="auto"/>
              </w:rPr>
            </w:pPr>
          </w:p>
        </w:tc>
        <w:tc>
          <w:tcPr>
            <w:tcW w:w="3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5"/>
        </w:trPr>
        <w:tc>
          <w:tcPr>
            <w:tcW w:w="69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6920" w:type="dxa"/>
            <w:vAlign w:val="bottom"/>
          </w:tcPr>
          <w:p>
            <w:pPr>
              <w:jc w:val="center"/>
              <w:spacing w:after="0"/>
              <w:rPr>
                <w:sz w:val="20"/>
                <w:szCs w:val="20"/>
                <w:color w:val="auto"/>
              </w:rPr>
            </w:pPr>
            <w:r>
              <w:rPr>
                <w:rFonts w:ascii="Arial" w:cs="Arial" w:eastAsia="Arial" w:hAnsi="Arial"/>
                <w:sz w:val="17"/>
                <w:szCs w:val="17"/>
                <w:b w:val="1"/>
                <w:bCs w:val="1"/>
                <w:color w:val="auto"/>
                <w:w w:val="94"/>
              </w:rPr>
              <w:t>Chief Financial Officer</w:t>
            </w:r>
          </w:p>
        </w:tc>
        <w:tc>
          <w:tcPr>
            <w:tcW w:w="5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5"/>
        </w:trPr>
        <w:tc>
          <w:tcPr>
            <w:tcW w:w="69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/s/ Russell C. Horowitz</w:t>
            </w:r>
          </w:p>
        </w:tc>
        <w:tc>
          <w:tcPr>
            <w:tcW w:w="560" w:type="dxa"/>
            <w:vAlign w:val="bottom"/>
          </w:tcPr>
          <w:p>
            <w:pPr>
              <w:spacing w:after="0"/>
              <w:rPr>
                <w:sz w:val="24"/>
                <w:szCs w:val="24"/>
                <w:color w:val="auto"/>
              </w:rPr>
            </w:pPr>
          </w:p>
        </w:tc>
        <w:tc>
          <w:tcPr>
            <w:tcW w:w="3860" w:type="dxa"/>
            <w:vAlign w:val="bottom"/>
            <w:vMerge w:val="restart"/>
          </w:tcPr>
          <w:p>
            <w:pPr>
              <w:jc w:val="center"/>
              <w:ind w:left="457"/>
              <w:spacing w:after="0"/>
              <w:rPr>
                <w:sz w:val="20"/>
                <w:szCs w:val="20"/>
                <w:color w:val="auto"/>
              </w:rPr>
            </w:pPr>
            <w:r>
              <w:rPr>
                <w:rFonts w:ascii="Arial" w:cs="Arial" w:eastAsia="Arial" w:hAnsi="Arial"/>
                <w:sz w:val="17"/>
                <w:szCs w:val="17"/>
                <w:color w:val="auto"/>
                <w:w w:val="91"/>
              </w:rPr>
              <w:t>December 22, 2021</w:t>
            </w:r>
          </w:p>
        </w:tc>
        <w:tc>
          <w:tcPr>
            <w:tcW w:w="0" w:type="dxa"/>
            <w:vAlign w:val="bottom"/>
          </w:tcPr>
          <w:p>
            <w:pPr>
              <w:spacing w:after="0"/>
              <w:rPr>
                <w:sz w:val="1"/>
                <w:szCs w:val="1"/>
                <w:color w:val="auto"/>
              </w:rPr>
            </w:pPr>
          </w:p>
        </w:tc>
      </w:tr>
      <w:tr>
        <w:trPr>
          <w:trHeight w:val="70"/>
        </w:trPr>
        <w:tc>
          <w:tcPr>
            <w:tcW w:w="6920" w:type="dxa"/>
            <w:vAlign w:val="bottom"/>
            <w:vMerge w:val="restart"/>
          </w:tcPr>
          <w:p>
            <w:pPr>
              <w:jc w:val="center"/>
              <w:spacing w:after="0" w:line="183" w:lineRule="exact"/>
              <w:rPr>
                <w:sz w:val="20"/>
                <w:szCs w:val="20"/>
                <w:color w:val="auto"/>
              </w:rPr>
            </w:pPr>
            <w:r>
              <w:rPr>
                <w:rFonts w:ascii="Arial" w:cs="Arial" w:eastAsia="Arial" w:hAnsi="Arial"/>
                <w:sz w:val="17"/>
                <w:szCs w:val="17"/>
                <w:b w:val="1"/>
                <w:bCs w:val="1"/>
                <w:color w:val="auto"/>
                <w:w w:val="91"/>
              </w:rPr>
              <w:t>Russell C. Horowitz</w:t>
            </w:r>
          </w:p>
        </w:tc>
        <w:tc>
          <w:tcPr>
            <w:tcW w:w="560" w:type="dxa"/>
            <w:vAlign w:val="bottom"/>
          </w:tcPr>
          <w:p>
            <w:pPr>
              <w:spacing w:after="0"/>
              <w:rPr>
                <w:sz w:val="6"/>
                <w:szCs w:val="6"/>
                <w:color w:val="auto"/>
              </w:rPr>
            </w:pPr>
          </w:p>
        </w:tc>
        <w:tc>
          <w:tcPr>
            <w:tcW w:w="3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69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3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6920" w:type="dxa"/>
            <w:vAlign w:val="bottom"/>
          </w:tcPr>
          <w:p>
            <w:pPr>
              <w:jc w:val="center"/>
              <w:spacing w:after="0"/>
              <w:rPr>
                <w:sz w:val="20"/>
                <w:szCs w:val="20"/>
                <w:color w:val="auto"/>
              </w:rPr>
            </w:pPr>
            <w:r>
              <w:rPr>
                <w:rFonts w:ascii="Arial" w:cs="Arial" w:eastAsia="Arial" w:hAnsi="Arial"/>
                <w:sz w:val="17"/>
                <w:szCs w:val="17"/>
                <w:b w:val="1"/>
                <w:bCs w:val="1"/>
                <w:color w:val="auto"/>
                <w:w w:val="93"/>
              </w:rPr>
              <w:t>Co-CEO and Executive Director</w:t>
            </w:r>
          </w:p>
        </w:tc>
        <w:tc>
          <w:tcPr>
            <w:tcW w:w="5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69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s/ Dennis Cline</w:t>
            </w:r>
          </w:p>
        </w:tc>
        <w:tc>
          <w:tcPr>
            <w:tcW w:w="560" w:type="dxa"/>
            <w:vAlign w:val="bottom"/>
          </w:tcPr>
          <w:p>
            <w:pPr>
              <w:spacing w:after="0"/>
              <w:rPr>
                <w:sz w:val="24"/>
                <w:szCs w:val="24"/>
                <w:color w:val="auto"/>
              </w:rPr>
            </w:pPr>
          </w:p>
        </w:tc>
        <w:tc>
          <w:tcPr>
            <w:tcW w:w="3860" w:type="dxa"/>
            <w:vAlign w:val="bottom"/>
            <w:vMerge w:val="restart"/>
          </w:tcPr>
          <w:p>
            <w:pPr>
              <w:jc w:val="center"/>
              <w:ind w:left="457"/>
              <w:spacing w:after="0"/>
              <w:rPr>
                <w:sz w:val="20"/>
                <w:szCs w:val="20"/>
                <w:color w:val="auto"/>
              </w:rPr>
            </w:pPr>
            <w:r>
              <w:rPr>
                <w:rFonts w:ascii="Arial" w:cs="Arial" w:eastAsia="Arial" w:hAnsi="Arial"/>
                <w:sz w:val="17"/>
                <w:szCs w:val="17"/>
                <w:color w:val="auto"/>
                <w:w w:val="91"/>
              </w:rPr>
              <w:t>December 22, 2021</w:t>
            </w:r>
          </w:p>
        </w:tc>
        <w:tc>
          <w:tcPr>
            <w:tcW w:w="0" w:type="dxa"/>
            <w:vAlign w:val="bottom"/>
          </w:tcPr>
          <w:p>
            <w:pPr>
              <w:spacing w:after="0"/>
              <w:rPr>
                <w:sz w:val="1"/>
                <w:szCs w:val="1"/>
                <w:color w:val="auto"/>
              </w:rPr>
            </w:pPr>
          </w:p>
        </w:tc>
      </w:tr>
      <w:tr>
        <w:trPr>
          <w:trHeight w:val="70"/>
        </w:trPr>
        <w:tc>
          <w:tcPr>
            <w:tcW w:w="6920" w:type="dxa"/>
            <w:vAlign w:val="bottom"/>
            <w:vMerge w:val="restart"/>
          </w:tcPr>
          <w:p>
            <w:pPr>
              <w:jc w:val="center"/>
              <w:spacing w:after="0" w:line="183" w:lineRule="exact"/>
              <w:rPr>
                <w:sz w:val="20"/>
                <w:szCs w:val="20"/>
                <w:color w:val="auto"/>
              </w:rPr>
            </w:pPr>
            <w:r>
              <w:rPr>
                <w:rFonts w:ascii="Arial" w:cs="Arial" w:eastAsia="Arial" w:hAnsi="Arial"/>
                <w:sz w:val="17"/>
                <w:szCs w:val="17"/>
                <w:b w:val="1"/>
                <w:bCs w:val="1"/>
                <w:color w:val="auto"/>
                <w:w w:val="91"/>
              </w:rPr>
              <w:t>Dennis Cline</w:t>
            </w:r>
          </w:p>
        </w:tc>
        <w:tc>
          <w:tcPr>
            <w:tcW w:w="560" w:type="dxa"/>
            <w:vAlign w:val="bottom"/>
          </w:tcPr>
          <w:p>
            <w:pPr>
              <w:spacing w:after="0"/>
              <w:rPr>
                <w:sz w:val="6"/>
                <w:szCs w:val="6"/>
                <w:color w:val="auto"/>
              </w:rPr>
            </w:pPr>
          </w:p>
        </w:tc>
        <w:tc>
          <w:tcPr>
            <w:tcW w:w="3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69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3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6920" w:type="dxa"/>
            <w:vAlign w:val="bottom"/>
          </w:tcPr>
          <w:p>
            <w:pPr>
              <w:jc w:val="center"/>
              <w:spacing w:after="0"/>
              <w:rPr>
                <w:sz w:val="20"/>
                <w:szCs w:val="20"/>
                <w:color w:val="auto"/>
              </w:rPr>
            </w:pPr>
            <w:r>
              <w:rPr>
                <w:rFonts w:ascii="Arial" w:cs="Arial" w:eastAsia="Arial" w:hAnsi="Arial"/>
                <w:sz w:val="17"/>
                <w:szCs w:val="17"/>
                <w:b w:val="1"/>
                <w:bCs w:val="1"/>
                <w:color w:val="auto"/>
                <w:w w:val="95"/>
              </w:rPr>
              <w:t>Director</w:t>
            </w:r>
          </w:p>
        </w:tc>
        <w:tc>
          <w:tcPr>
            <w:tcW w:w="5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69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/s/ Donald Cogsville</w:t>
            </w:r>
          </w:p>
        </w:tc>
        <w:tc>
          <w:tcPr>
            <w:tcW w:w="560" w:type="dxa"/>
            <w:vAlign w:val="bottom"/>
          </w:tcPr>
          <w:p>
            <w:pPr>
              <w:spacing w:after="0"/>
              <w:rPr>
                <w:sz w:val="24"/>
                <w:szCs w:val="24"/>
                <w:color w:val="auto"/>
              </w:rPr>
            </w:pPr>
          </w:p>
        </w:tc>
        <w:tc>
          <w:tcPr>
            <w:tcW w:w="3860" w:type="dxa"/>
            <w:vAlign w:val="bottom"/>
            <w:vMerge w:val="restart"/>
          </w:tcPr>
          <w:p>
            <w:pPr>
              <w:jc w:val="center"/>
              <w:ind w:left="457"/>
              <w:spacing w:after="0"/>
              <w:rPr>
                <w:sz w:val="20"/>
                <w:szCs w:val="20"/>
                <w:color w:val="auto"/>
              </w:rPr>
            </w:pPr>
            <w:r>
              <w:rPr>
                <w:rFonts w:ascii="Arial" w:cs="Arial" w:eastAsia="Arial" w:hAnsi="Arial"/>
                <w:sz w:val="17"/>
                <w:szCs w:val="17"/>
                <w:color w:val="auto"/>
                <w:w w:val="91"/>
              </w:rPr>
              <w:t>December 22, 2021</w:t>
            </w:r>
          </w:p>
        </w:tc>
        <w:tc>
          <w:tcPr>
            <w:tcW w:w="0" w:type="dxa"/>
            <w:vAlign w:val="bottom"/>
          </w:tcPr>
          <w:p>
            <w:pPr>
              <w:spacing w:after="0"/>
              <w:rPr>
                <w:sz w:val="1"/>
                <w:szCs w:val="1"/>
                <w:color w:val="auto"/>
              </w:rPr>
            </w:pPr>
          </w:p>
        </w:tc>
      </w:tr>
      <w:tr>
        <w:trPr>
          <w:trHeight w:val="70"/>
        </w:trPr>
        <w:tc>
          <w:tcPr>
            <w:tcW w:w="6920" w:type="dxa"/>
            <w:vAlign w:val="bottom"/>
            <w:vMerge w:val="restart"/>
          </w:tcPr>
          <w:p>
            <w:pPr>
              <w:jc w:val="center"/>
              <w:spacing w:after="0" w:line="183" w:lineRule="exact"/>
              <w:rPr>
                <w:sz w:val="20"/>
                <w:szCs w:val="20"/>
                <w:color w:val="auto"/>
              </w:rPr>
            </w:pPr>
            <w:r>
              <w:rPr>
                <w:rFonts w:ascii="Arial" w:cs="Arial" w:eastAsia="Arial" w:hAnsi="Arial"/>
                <w:sz w:val="17"/>
                <w:szCs w:val="17"/>
                <w:b w:val="1"/>
                <w:bCs w:val="1"/>
                <w:color w:val="auto"/>
                <w:w w:val="89"/>
              </w:rPr>
              <w:t>Donald Cogsville</w:t>
            </w:r>
          </w:p>
        </w:tc>
        <w:tc>
          <w:tcPr>
            <w:tcW w:w="560" w:type="dxa"/>
            <w:vAlign w:val="bottom"/>
          </w:tcPr>
          <w:p>
            <w:pPr>
              <w:spacing w:after="0"/>
              <w:rPr>
                <w:sz w:val="6"/>
                <w:szCs w:val="6"/>
                <w:color w:val="auto"/>
              </w:rPr>
            </w:pPr>
          </w:p>
        </w:tc>
        <w:tc>
          <w:tcPr>
            <w:tcW w:w="3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69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3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6920" w:type="dxa"/>
            <w:vAlign w:val="bottom"/>
          </w:tcPr>
          <w:p>
            <w:pPr>
              <w:jc w:val="center"/>
              <w:spacing w:after="0"/>
              <w:rPr>
                <w:sz w:val="20"/>
                <w:szCs w:val="20"/>
                <w:color w:val="auto"/>
              </w:rPr>
            </w:pPr>
            <w:r>
              <w:rPr>
                <w:rFonts w:ascii="Arial" w:cs="Arial" w:eastAsia="Arial" w:hAnsi="Arial"/>
                <w:sz w:val="17"/>
                <w:szCs w:val="17"/>
                <w:b w:val="1"/>
                <w:bCs w:val="1"/>
                <w:color w:val="auto"/>
                <w:w w:val="95"/>
              </w:rPr>
              <w:t>Director</w:t>
            </w:r>
          </w:p>
        </w:tc>
        <w:tc>
          <w:tcPr>
            <w:tcW w:w="5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69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/s/ M. Wayne Wisehart</w:t>
            </w:r>
          </w:p>
        </w:tc>
        <w:tc>
          <w:tcPr>
            <w:tcW w:w="560" w:type="dxa"/>
            <w:vAlign w:val="bottom"/>
          </w:tcPr>
          <w:p>
            <w:pPr>
              <w:spacing w:after="0"/>
              <w:rPr>
                <w:sz w:val="24"/>
                <w:szCs w:val="24"/>
                <w:color w:val="auto"/>
              </w:rPr>
            </w:pPr>
          </w:p>
        </w:tc>
        <w:tc>
          <w:tcPr>
            <w:tcW w:w="3860" w:type="dxa"/>
            <w:vAlign w:val="bottom"/>
            <w:vMerge w:val="restart"/>
          </w:tcPr>
          <w:p>
            <w:pPr>
              <w:jc w:val="center"/>
              <w:ind w:left="457"/>
              <w:spacing w:after="0"/>
              <w:rPr>
                <w:sz w:val="20"/>
                <w:szCs w:val="20"/>
                <w:color w:val="auto"/>
              </w:rPr>
            </w:pPr>
            <w:r>
              <w:rPr>
                <w:rFonts w:ascii="Arial" w:cs="Arial" w:eastAsia="Arial" w:hAnsi="Arial"/>
                <w:sz w:val="17"/>
                <w:szCs w:val="17"/>
                <w:color w:val="auto"/>
                <w:w w:val="91"/>
              </w:rPr>
              <w:t>December 22, 2021</w:t>
            </w:r>
          </w:p>
        </w:tc>
        <w:tc>
          <w:tcPr>
            <w:tcW w:w="0" w:type="dxa"/>
            <w:vAlign w:val="bottom"/>
          </w:tcPr>
          <w:p>
            <w:pPr>
              <w:spacing w:after="0"/>
              <w:rPr>
                <w:sz w:val="1"/>
                <w:szCs w:val="1"/>
                <w:color w:val="auto"/>
              </w:rPr>
            </w:pPr>
          </w:p>
        </w:tc>
      </w:tr>
      <w:tr>
        <w:trPr>
          <w:trHeight w:val="70"/>
        </w:trPr>
        <w:tc>
          <w:tcPr>
            <w:tcW w:w="6920" w:type="dxa"/>
            <w:vAlign w:val="bottom"/>
            <w:vMerge w:val="restart"/>
          </w:tcPr>
          <w:p>
            <w:pPr>
              <w:jc w:val="center"/>
              <w:spacing w:after="0" w:line="183" w:lineRule="exact"/>
              <w:rPr>
                <w:sz w:val="20"/>
                <w:szCs w:val="20"/>
                <w:color w:val="auto"/>
              </w:rPr>
            </w:pPr>
            <w:r>
              <w:rPr>
                <w:rFonts w:ascii="Arial" w:cs="Arial" w:eastAsia="Arial" w:hAnsi="Arial"/>
                <w:sz w:val="17"/>
                <w:szCs w:val="17"/>
                <w:b w:val="1"/>
                <w:bCs w:val="1"/>
                <w:color w:val="auto"/>
                <w:w w:val="95"/>
              </w:rPr>
              <w:t>M. Wayne Wisehart</w:t>
            </w:r>
          </w:p>
        </w:tc>
        <w:tc>
          <w:tcPr>
            <w:tcW w:w="560" w:type="dxa"/>
            <w:vAlign w:val="bottom"/>
          </w:tcPr>
          <w:p>
            <w:pPr>
              <w:spacing w:after="0"/>
              <w:rPr>
                <w:sz w:val="6"/>
                <w:szCs w:val="6"/>
                <w:color w:val="auto"/>
              </w:rPr>
            </w:pPr>
          </w:p>
        </w:tc>
        <w:tc>
          <w:tcPr>
            <w:tcW w:w="3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69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3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6920" w:type="dxa"/>
            <w:vAlign w:val="bottom"/>
          </w:tcPr>
          <w:p>
            <w:pPr>
              <w:jc w:val="center"/>
              <w:spacing w:after="0"/>
              <w:rPr>
                <w:sz w:val="20"/>
                <w:szCs w:val="20"/>
                <w:color w:val="auto"/>
              </w:rPr>
            </w:pPr>
            <w:r>
              <w:rPr>
                <w:rFonts w:ascii="Arial" w:cs="Arial" w:eastAsia="Arial" w:hAnsi="Arial"/>
                <w:sz w:val="17"/>
                <w:szCs w:val="17"/>
                <w:b w:val="1"/>
                <w:bCs w:val="1"/>
                <w:color w:val="auto"/>
                <w:w w:val="95"/>
              </w:rPr>
              <w:t>Director</w:t>
            </w:r>
          </w:p>
        </w:tc>
        <w:tc>
          <w:tcPr>
            <w:tcW w:w="5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1102"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7"/>
          <w:szCs w:val="17"/>
          <w:b w:val="1"/>
          <w:bCs w:val="1"/>
          <w:color w:val="auto"/>
        </w:rPr>
        <w:t>Exhibit 5.1</w:t>
      </w:r>
    </w:p>
    <w:p>
      <w:pPr>
        <w:spacing w:after="0" w:line="23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December 22, 2021</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Marchex, Inc.</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520 Pike Street, Suite 2000</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Seattle, WA 98101</w:t>
      </w:r>
    </w:p>
    <w:p>
      <w:pPr>
        <w:spacing w:after="0" w:line="227"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auto"/>
        </w:rPr>
        <w:t>Re: Registration Statement on Form S-8</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30" w:lineRule="exact"/>
        <w:rPr>
          <w:sz w:val="20"/>
          <w:szCs w:val="20"/>
          <w:color w:val="auto"/>
        </w:rPr>
      </w:pPr>
    </w:p>
    <w:p>
      <w:pPr>
        <w:jc w:val="both"/>
        <w:ind w:right="200" w:firstLine="545"/>
        <w:spacing w:after="0" w:line="210" w:lineRule="exact"/>
        <w:rPr>
          <w:sz w:val="20"/>
          <w:szCs w:val="20"/>
          <w:color w:val="auto"/>
        </w:rPr>
      </w:pPr>
      <w:r>
        <w:rPr>
          <w:rFonts w:ascii="Arial" w:cs="Arial" w:eastAsia="Arial" w:hAnsi="Arial"/>
          <w:sz w:val="17"/>
          <w:szCs w:val="17"/>
          <w:color w:val="auto"/>
        </w:rPr>
        <w:t>We have acted as counsel to Marchex, Inc., a Delaware corporation (the “Company”), in connection with the registration on Form S</w:t>
      </w:r>
      <w:r>
        <w:rPr>
          <w:rFonts w:ascii="MS PGothic" w:cs="MS PGothic" w:eastAsia="MS PGothic" w:hAnsi="MS PGothic"/>
          <w:sz w:val="17"/>
          <w:szCs w:val="17"/>
          <w:color w:val="auto"/>
        </w:rPr>
        <w:t>‑</w:t>
      </w:r>
      <w:r>
        <w:rPr>
          <w:rFonts w:ascii="Arial" w:cs="Arial" w:eastAsia="Arial" w:hAnsi="Arial"/>
          <w:sz w:val="17"/>
          <w:szCs w:val="17"/>
          <w:color w:val="auto"/>
        </w:rPr>
        <w:t>8 (the “Registration Statement”) under the Securities Act of 1933, as amended (the “Securities Act”), of up to 3,500,000 shares of Class B Common Stock, par value $0.01 per share (the “Shares”), reserved for issuance under the Marchex, Inc. 2021 Stock Incentive Plan (the “Plan”).</w:t>
      </w:r>
    </w:p>
    <w:p>
      <w:pPr>
        <w:spacing w:after="0" w:line="22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This opinion is being furnished in accordance with the requirements of Item 8 of Form S-8 and Item 601(b)(5)(i) of Regulation S-K.</w:t>
      </w:r>
    </w:p>
    <w:p>
      <w:pPr>
        <w:spacing w:after="0" w:line="230" w:lineRule="exact"/>
        <w:rPr>
          <w:sz w:val="20"/>
          <w:szCs w:val="20"/>
          <w:color w:val="auto"/>
        </w:rPr>
      </w:pPr>
    </w:p>
    <w:p>
      <w:pPr>
        <w:ind w:right="260" w:firstLine="545"/>
        <w:spacing w:after="0" w:line="260" w:lineRule="auto"/>
        <w:rPr>
          <w:sz w:val="20"/>
          <w:szCs w:val="20"/>
          <w:color w:val="auto"/>
        </w:rPr>
      </w:pPr>
      <w:r>
        <w:rPr>
          <w:rFonts w:ascii="Arial" w:cs="Arial" w:eastAsia="Arial" w:hAnsi="Arial"/>
          <w:sz w:val="17"/>
          <w:szCs w:val="17"/>
          <w:color w:val="auto"/>
        </w:rPr>
        <w:t>We have examined such instruments, documents and records as we deemed relevant and necessary for the basis of our opinion hereinafter expressed. In such examination, we have assumed the genuineness of all signatures, the authenticity of all documents submitted to us as originals and the conformity to the originals of all documents submitted to us as copies. As to matters of fact relevant to our opinion set forth below, we have relied, without independent investigation, on certificates of public officials and of officers of the Company. We express no opinion concerning any law other than the laws of the State of Delaware.</w:t>
      </w:r>
    </w:p>
    <w:p>
      <w:pPr>
        <w:spacing w:after="0" w:line="193" w:lineRule="exact"/>
        <w:rPr>
          <w:sz w:val="20"/>
          <w:szCs w:val="20"/>
          <w:color w:val="auto"/>
        </w:rPr>
      </w:pPr>
    </w:p>
    <w:p>
      <w:pPr>
        <w:ind w:right="320" w:firstLine="545"/>
        <w:spacing w:after="0" w:line="280" w:lineRule="auto"/>
        <w:rPr>
          <w:sz w:val="20"/>
          <w:szCs w:val="20"/>
          <w:color w:val="auto"/>
        </w:rPr>
      </w:pPr>
      <w:r>
        <w:rPr>
          <w:rFonts w:ascii="Arial" w:cs="Arial" w:eastAsia="Arial" w:hAnsi="Arial"/>
          <w:sz w:val="17"/>
          <w:szCs w:val="17"/>
          <w:color w:val="auto"/>
        </w:rPr>
        <w:t>On the basis of the foregoing, we are of the opinion that, when the Shares are issued and paid for in accordance with the terms of the Plan, they will be validly issued, fully paid and nonassessable.</w:t>
      </w:r>
    </w:p>
    <w:p>
      <w:pPr>
        <w:spacing w:after="0" w:line="189" w:lineRule="exact"/>
        <w:rPr>
          <w:sz w:val="20"/>
          <w:szCs w:val="20"/>
          <w:color w:val="auto"/>
        </w:rPr>
      </w:pPr>
    </w:p>
    <w:p>
      <w:pPr>
        <w:ind w:right="160" w:firstLine="545"/>
        <w:spacing w:after="0" w:line="349" w:lineRule="auto"/>
        <w:rPr>
          <w:sz w:val="20"/>
          <w:szCs w:val="20"/>
          <w:color w:val="auto"/>
        </w:rPr>
      </w:pPr>
      <w:r>
        <w:rPr>
          <w:rFonts w:ascii="Arial" w:cs="Arial" w:eastAsia="Arial" w:hAnsi="Arial"/>
          <w:sz w:val="15"/>
          <w:szCs w:val="15"/>
          <w:color w:val="auto"/>
        </w:rPr>
        <w:t>We hereby consent to the filing of this opinion as Exhibit 5.1 to the Registration Statement. In giving this consent, we do not admit that we are within the category of persons whose consent is required under Section 7 of the Securities Act or the rules and regulations of the Commission promulgated thereunder.</w:t>
      </w:r>
    </w:p>
    <w:p>
      <w:pPr>
        <w:spacing w:after="0" w:line="131" w:lineRule="exact"/>
        <w:rPr>
          <w:sz w:val="20"/>
          <w:szCs w:val="20"/>
          <w:color w:val="auto"/>
        </w:rPr>
      </w:pPr>
    </w:p>
    <w:p>
      <w:pPr>
        <w:ind w:right="260" w:firstLine="545"/>
        <w:spacing w:after="0" w:line="262" w:lineRule="auto"/>
        <w:rPr>
          <w:sz w:val="20"/>
          <w:szCs w:val="20"/>
          <w:color w:val="auto"/>
        </w:rPr>
      </w:pPr>
      <w:r>
        <w:rPr>
          <w:rFonts w:ascii="Arial" w:cs="Arial" w:eastAsia="Arial" w:hAnsi="Arial"/>
          <w:sz w:val="17"/>
          <w:szCs w:val="17"/>
          <w:color w:val="auto"/>
        </w:rPr>
        <w:t>Our opinion is expressly limited to the matters set forth above, and we render no opinion, whether by implication or otherwise, as to any other matters relating to the Company, the Shares, or the Registration Statement. This opinion is rendered as of the date hereof, and we assume no obligation to advise you of any fact, circumstance, event or development that may hereafter be brought to our attention whether or not such occurrence would alter, affect or modify the opinion expressed herein.</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auto"/>
        </w:rPr>
        <w:t>Very truly yours,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DLA PIPER LLP (US)</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color w:val="auto"/>
        </w:rPr>
        <w:t>/s/ DLA PIPER LLP (US)</w:t>
      </w:r>
    </w:p>
    <w:p>
      <w:pPr>
        <w:sectPr>
          <w:pgSz w:w="11900" w:h="16838" w:orient="portrait"/>
          <w:cols w:equalWidth="0" w:num="1">
            <w:col w:w="11240"/>
          </w:cols>
          <w:pgMar w:left="320" w:top="121"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7"/>
          <w:szCs w:val="17"/>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36" w:lineRule="exact"/>
        <w:rPr>
          <w:sz w:val="20"/>
          <w:szCs w:val="20"/>
          <w:color w:val="auto"/>
        </w:rPr>
      </w:pPr>
    </w:p>
    <w:p>
      <w:pPr>
        <w:jc w:val="both"/>
        <w:ind w:right="120"/>
        <w:spacing w:after="0" w:line="262" w:lineRule="auto"/>
        <w:rPr>
          <w:sz w:val="20"/>
          <w:szCs w:val="20"/>
          <w:color w:val="auto"/>
        </w:rPr>
      </w:pPr>
      <w:r>
        <w:rPr>
          <w:rFonts w:ascii="Arial" w:cs="Arial" w:eastAsia="Arial" w:hAnsi="Arial"/>
          <w:sz w:val="17"/>
          <w:szCs w:val="17"/>
          <w:color w:val="auto"/>
        </w:rPr>
        <w:t>We consent to the incorporation by reference in this Registration Statement on Form S-8 of Marchex, Inc. (the “Company”) of our report dated March 31, 2021, relating to the consolidated financial statements of the Company (which report expresses an unqualified opinion and includes an emphasis of a matter paragraph related to discontinued operations), included in the Company’s Annual Report on Form 10-K for the year ended December 31, 2020, filed with the Securities and Exchange Commission.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/s/ Moss Adams LLP</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Seattle, Washington</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December 22, 2021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Roman"/>
      <w:start w:val="1"/>
    </w:lvl>
  </w:abstractNum>
  <w:abstractNum w:abstractNumId="4">
    <w:nsid w:val="3D1B58BA"/>
    <w:multiLevelType w:val="hybridMultilevel"/>
    <w:lvl w:ilvl="0">
      <w:lvlJc w:val="left"/>
      <w:lvlText w:val="(%1)"/>
      <w:numFmt w:val="decimal"/>
      <w:start w:val="1"/>
    </w:lvl>
    <w:lvl w:ilvl="1">
      <w:lvlJc w:val="left"/>
      <w:lvlText w:val="(%2)"/>
      <w:numFmt w:val="lowerRoman"/>
      <w:start w:val="1"/>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30" Type="http://schemas.openxmlformats.org/officeDocument/2006/relationships/image" Target="media/image14.png"/><Relationship Id="rId34" Type="http://schemas.openxmlformats.org/officeDocument/2006/relationships/image" Target="media/image15.png"/><Relationship Id="rId35" Type="http://schemas.openxmlformats.org/officeDocument/2006/relationships/image" Target="media/image16.png"/><Relationship Id="rId36" Type="http://schemas.openxmlformats.org/officeDocument/2006/relationships/image" Target="media/image17.png"/><Relationship Id="rId21" Type="http://schemas.openxmlformats.org/officeDocument/2006/relationships/hyperlink" Target="https://www.sec.gov/ix?doc=/Archives/edgar/data/1224133/000156459021017049/mchx-10k_20201231.htm" TargetMode="External"/><Relationship Id="rId22" Type="http://schemas.openxmlformats.org/officeDocument/2006/relationships/hyperlink" Target="https://www.sec.gov/ix?doc=/Archives/edgar/data/1224133/000156459021027585/mchx-10q_20210331.htm" TargetMode="External"/><Relationship Id="rId23" Type="http://schemas.openxmlformats.org/officeDocument/2006/relationships/hyperlink" Target="https://www.sec.gov/ix?doc=/Archives/edgar/data/1224133/000156459021043966/mchx-10q_20210630.htm" TargetMode="External"/><Relationship Id="rId24" Type="http://schemas.openxmlformats.org/officeDocument/2006/relationships/hyperlink" Target="https://www.sec.gov/ix?doc=/Archives/edgar/data/1224133/000156459021056181/mchx-10q_20210930.htm" TargetMode="External"/><Relationship Id="rId25" Type="http://schemas.openxmlformats.org/officeDocument/2006/relationships/hyperlink" Target="https://www.sec.gov/ix?doc=/Archives/edgar/data/1224133/000156459021000164/mchx-8k_20201231.htm" TargetMode="External"/><Relationship Id="rId26" Type="http://schemas.openxmlformats.org/officeDocument/2006/relationships/hyperlink" Target="https://www.sec.gov/ix?doc=/Archives/edgar/data/1224133/000156459021017804/mchx-8k_20210406.htm" TargetMode="External"/><Relationship Id="rId27" Type="http://schemas.openxmlformats.org/officeDocument/2006/relationships/hyperlink" Target="https://www.sec.gov/ix?doc=/Archives/edgar/data/1224133/000156459021044898/mchx-8k_20210817.htm" TargetMode="External"/><Relationship Id="rId28" Type="http://schemas.openxmlformats.org/officeDocument/2006/relationships/hyperlink" Target="https://www.sec.gov/ix?doc=/Archives/edgar/data/1224133/000156459021050025/mchx-8k_20211001.htm" TargetMode="External"/><Relationship Id="rId29" Type="http://schemas.openxmlformats.org/officeDocument/2006/relationships/hyperlink" Target="http://www.sec.gov/Archives/edgar/data/1224133/000119312504052910/d8a12g.htm" TargetMode="External"/><Relationship Id="rId31" Type="http://schemas.openxmlformats.org/officeDocument/2006/relationships/hyperlink" Target="http://www.sec.gov/Archives/edgar/data/1224133/000119312504045734/dex33.htm" TargetMode="External"/><Relationship Id="rId32" Type="http://schemas.openxmlformats.org/officeDocument/2006/relationships/hyperlink" Target="http://www.sec.gov/Archives/edgar/data/1224133/000156459017021878/mchx-ex33_477.htm" TargetMode="External"/><Relationship Id="rId33" Type="http://schemas.openxmlformats.org/officeDocument/2006/relationships/hyperlink" Target="http://www.sec.gov/Archives/edgar/data/1224133/000156459021045281/mchx-def14a_20211001.htm#Appendix_A"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2021-12-22T15:18:15Z</dcterms:created>
  <dcterms:modified xsi:type="dcterms:W3CDTF">2021-12-22T15:18:15Z</dcterms:modified>
</cp:coreProperties>
</file>