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3"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-598805</wp:posOffset>
            </wp:positionV>
            <wp:extent cx="56515" cy="612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635635</wp:posOffset>
            </wp:positionV>
            <wp:extent cx="6999605" cy="423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4236720"/>
                    </a:xfrm>
                    <a:prstGeom prst="rect">
                      <a:avLst/>
                    </a:prstGeom>
                    <a:noFill/>
                  </pic:spPr>
                </pic:pic>
              </a:graphicData>
            </a:graphic>
          </wp:anchor>
        </w:drawing>
      </w:r>
    </w:p>
    <w:p>
      <w:pPr>
        <w:spacing w:after="0" w:line="1071"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ARENDS MICHAEL A</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1448 NW MARKET ST</w:t>
      </w:r>
    </w:p>
    <w:p>
      <w:pPr>
        <w:spacing w:after="0" w:line="6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MARCHEX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MCHX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br w:type="column"/>
      </w:r>
    </w:p>
    <w:p>
      <w:pPr>
        <w:ind w:right="740"/>
        <w:spacing w:after="0" w:line="276"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6"/>
          <w:szCs w:val="16"/>
          <w:color w:val="0000FF"/>
        </w:rPr>
        <w:t>Vice Chairman</w:t>
      </w:r>
    </w:p>
    <w:p>
      <w:pPr>
        <w:spacing w:after="0" w:line="520" w:lineRule="exact"/>
        <w:rPr>
          <w:sz w:val="24"/>
          <w:szCs w:val="24"/>
          <w:color w:val="auto"/>
        </w:rPr>
      </w:pPr>
    </w:p>
    <w:p>
      <w:pPr>
        <w:sectPr>
          <w:pgSz w:w="11900" w:h="16838" w:orient="portrait"/>
          <w:cols w:equalWidth="0" w:num="3">
            <w:col w:w="3180" w:space="720"/>
            <w:col w:w="3120" w:space="720"/>
            <w:col w:w="3340"/>
          </w:cols>
          <w:pgMar w:left="460" w:top="213" w:right="359" w:bottom="144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6"/>
                <w:szCs w:val="16"/>
                <w:color w:val="0000FF"/>
                <w:w w:val="95"/>
              </w:rPr>
              <w:t>SEATTLE</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0000FF"/>
              </w:rPr>
              <w:t>WA</w:t>
            </w:r>
          </w:p>
        </w:tc>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98107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2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2"/>
          </w:tcPr>
          <w:p>
            <w:pPr>
              <w:ind w:left="540"/>
              <w:spacing w:after="0"/>
              <w:rPr>
                <w:sz w:val="20"/>
                <w:szCs w:val="20"/>
                <w:color w:val="auto"/>
              </w:rPr>
            </w:pPr>
            <w:r>
              <w:rPr>
                <w:rFonts w:ascii="Arial" w:cs="Arial" w:eastAsia="Arial" w:hAnsi="Arial"/>
                <w:sz w:val="12"/>
                <w:szCs w:val="12"/>
                <w:color w:val="auto"/>
              </w:rPr>
              <w:t>(State)</w:t>
            </w:r>
          </w:p>
        </w:tc>
        <w:tc>
          <w:tcPr>
            <w:tcW w:w="1100" w:type="dxa"/>
            <w:vAlign w:val="bottom"/>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2"/>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2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00" w:type="dxa"/>
            <w:vAlign w:val="bottom"/>
            <w:gridSpan w:val="3"/>
          </w:tcPr>
          <w:p>
            <w:pPr>
              <w:ind w:left="9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200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00" w:type="dxa"/>
            <w:vAlign w:val="bottom"/>
            <w:gridSpan w:val="3"/>
          </w:tcPr>
          <w:p>
            <w:pPr>
              <w:ind w:left="96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76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line="123"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6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Number of</w:t>
            </w:r>
          </w:p>
        </w:tc>
        <w:tc>
          <w:tcPr>
            <w:tcW w:w="28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3"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line="123"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4 and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6.0%</w:t>
            </w: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Convertible</w:t>
            </w: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2,302,302</w:t>
            </w: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w:t>
            </w:r>
          </w:p>
        </w:tc>
        <w:tc>
          <w:tcPr>
            <w:tcW w:w="98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07/01/2026</w:t>
            </w:r>
          </w:p>
        </w:tc>
        <w:tc>
          <w:tcPr>
            <w:tcW w:w="1100" w:type="dxa"/>
            <w:vAlign w:val="bottom"/>
          </w:tcPr>
          <w:p>
            <w:pPr>
              <w:spacing w:after="0"/>
              <w:rPr>
                <w:sz w:val="5"/>
                <w:szCs w:val="5"/>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4,144,144</w:t>
            </w:r>
          </w:p>
        </w:tc>
        <w:tc>
          <w:tcPr>
            <w:tcW w:w="28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07/01/2026</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07/01/2028</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4,144,144</w:t>
            </w: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4,144,144</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Debt (due</w:t>
            </w: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2028)</w:t>
            </w:r>
            <w:r>
              <w:rPr>
                <w:rFonts w:ascii="Times New Roman" w:cs="Times New Roman" w:eastAsia="Times New Roman" w:hAnsi="Times New Roman"/>
                <w:sz w:val="20"/>
                <w:szCs w:val="20"/>
                <w:color w:val="008000"/>
                <w:vertAlign w:val="superscript"/>
              </w:rPr>
              <w:t>(1)</w:t>
            </w: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2C2C2C"/>
            </w:tcBorders>
            <w:gridSpan w:val="3"/>
            <w:vMerge w:val="continue"/>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-1710690</wp:posOffset>
            </wp:positionV>
            <wp:extent cx="28575" cy="171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1577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220" w:hanging="4"/>
        <w:spacing w:after="0" w:line="24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1, 2026 (the "Closing Date"), Marchex, Inc. acquired 100% of the capital stock of privately-held Archenia, Inc. pursuant to a stock purchase agreement ("SPA") where the reporting person acquired $4,144,144 in convertible debt from the issuer. The notes bear interest at 6%, are payable in three equal tranches on the 12-, 18- and 24-month anniversaries, and are convertible in whole or in part into shares of the issuer's Class B common stock at $1.80 per share. The SPA also provides that the reporting person will receive 828,829 additional shares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The reporting person's right to receive the additional shares pursuant to this earn-out right became fixed and irrevocable on the Closing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Michael A. Arends</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5"/>
              </w:rPr>
              <w:t>07/01/2026</w:t>
            </w:r>
          </w:p>
        </w:tc>
      </w:tr>
      <w:tr>
        <w:trPr>
          <w:trHeight w:val="20"/>
        </w:trPr>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5"/>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4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2317" TargetMode="External"/><Relationship Id="rId14" Type="http://schemas.openxmlformats.org/officeDocument/2006/relationships/hyperlink" Target="http://www.sec.gov/cgi-bin/browse-edgar?action=getcompany&amp;CIK=000122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2026-07-01T15:24:45Z</dcterms:created>
  <dcterms:modified xsi:type="dcterms:W3CDTF">2026-07-01T15:24:45Z</dcterms:modified>
</cp:coreProperties>
</file>